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36" w:rsidRPr="00905A49" w:rsidRDefault="009C569D" w:rsidP="009C569D">
      <w:pPr>
        <w:spacing w:after="0"/>
        <w:rPr>
          <w:b/>
        </w:rPr>
      </w:pPr>
      <w:r w:rsidRPr="00905A49">
        <w:rPr>
          <w:b/>
        </w:rPr>
        <w:t>CIVIC GOVERNMENT (SCOTLAND) ACT 1982</w:t>
      </w:r>
    </w:p>
    <w:p w:rsidR="009C569D" w:rsidRPr="00905A49" w:rsidRDefault="009C569D" w:rsidP="009C569D">
      <w:pPr>
        <w:spacing w:after="0"/>
        <w:rPr>
          <w:b/>
        </w:rPr>
      </w:pPr>
    </w:p>
    <w:p w:rsidR="009C569D" w:rsidRPr="00905A49" w:rsidRDefault="009C569D" w:rsidP="009C569D">
      <w:pPr>
        <w:spacing w:after="0"/>
        <w:rPr>
          <w:b/>
        </w:rPr>
      </w:pPr>
      <w:r w:rsidRPr="00905A49">
        <w:rPr>
          <w:b/>
        </w:rPr>
        <w:t>RESOLUTION RE PUBLIC ENTERTAINMENT LICENSING</w:t>
      </w:r>
    </w:p>
    <w:p w:rsidR="009C569D" w:rsidRDefault="009C569D" w:rsidP="009C569D">
      <w:pPr>
        <w:spacing w:after="0"/>
      </w:pPr>
    </w:p>
    <w:p w:rsidR="009C569D" w:rsidRDefault="009C569D" w:rsidP="009C569D">
      <w:pPr>
        <w:spacing w:after="0"/>
      </w:pPr>
      <w:r>
        <w:t>Notice is hereby given that East Lothian Council proposes, in exercise of its powers under Section 9 of the Civic Government (Scotland) Act 1982, to amend their current resolution relative to the licensing of Public Entertainment activities</w:t>
      </w:r>
      <w:bookmarkStart w:id="0" w:name="_GoBack"/>
      <w:bookmarkEnd w:id="0"/>
      <w:r>
        <w:t>.  The amended proposal is attached hereto.</w:t>
      </w:r>
    </w:p>
    <w:p w:rsidR="009C569D" w:rsidRDefault="009C569D" w:rsidP="009C569D">
      <w:pPr>
        <w:spacing w:after="0"/>
      </w:pPr>
    </w:p>
    <w:p w:rsidR="009C569D" w:rsidRDefault="009C569D" w:rsidP="009C569D">
      <w:pPr>
        <w:spacing w:after="0"/>
      </w:pPr>
      <w:r>
        <w:t xml:space="preserve">Any person or body wishing to make objections or representations in relation to this intended amendment should do so in writing; all such objections or representations should be received at the undernoted address no later than </w:t>
      </w:r>
      <w:r w:rsidR="00D940C9">
        <w:t>27 November 2020</w:t>
      </w:r>
      <w:r>
        <w:t>.</w:t>
      </w:r>
    </w:p>
    <w:p w:rsidR="009C569D" w:rsidRDefault="009C569D" w:rsidP="009C569D">
      <w:pPr>
        <w:spacing w:after="0"/>
      </w:pPr>
    </w:p>
    <w:p w:rsidR="009C569D" w:rsidRDefault="009C569D" w:rsidP="009C569D">
      <w:pPr>
        <w:spacing w:after="0"/>
      </w:pPr>
      <w:r>
        <w:t>PROPOSED AMENDMENT TO RESOLUTION:</w:t>
      </w:r>
    </w:p>
    <w:p w:rsidR="009C569D" w:rsidRDefault="009C569D" w:rsidP="009C569D">
      <w:pPr>
        <w:spacing w:after="0"/>
      </w:pPr>
      <w:r>
        <w:t>“East Lothian Council, as Licensing Authority for East Lothian do hereby resolve in terms of Section 9 of the Civic Government (Scotland) Act 1982 that, under Section 41 of the Civic Government (Scotland) Act 1982 with effect from XXXX throughout the who</w:t>
      </w:r>
      <w:r w:rsidR="00905A49">
        <w:t>l</w:t>
      </w:r>
      <w:r>
        <w:t>e area of the Licensing Authority the previous resolution</w:t>
      </w:r>
      <w:r w:rsidR="00905A49">
        <w:t xml:space="preserve"> made by the Licensing Authority relative to Public Entertainment licensing, which resolution came into effect on 1 July 1984, shall be amended in the following terms:</w:t>
      </w:r>
      <w:r w:rsidR="000C666A">
        <w:t>”</w:t>
      </w:r>
    </w:p>
    <w:p w:rsidR="00905A49" w:rsidRDefault="00905A49" w:rsidP="009C569D">
      <w:pPr>
        <w:spacing w:after="0"/>
      </w:pPr>
      <w:r>
        <w:t>The classes of activity listed in the said resolution shall be deleted and the following shall be substituted in place thereof:</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Dancing establishments</w:t>
      </w:r>
    </w:p>
    <w:p w:rsidR="00905A49" w:rsidRPr="00905A49" w:rsidRDefault="00905A49" w:rsidP="003B19EB">
      <w:pPr>
        <w:pStyle w:val="ListParagraph"/>
        <w:numPr>
          <w:ilvl w:val="0"/>
          <w:numId w:val="1"/>
        </w:numPr>
        <w:autoSpaceDE w:val="0"/>
        <w:autoSpaceDN w:val="0"/>
        <w:adjustRightInd w:val="0"/>
        <w:spacing w:after="0" w:line="240" w:lineRule="auto"/>
        <w:rPr>
          <w:rFonts w:cstheme="minorHAnsi"/>
        </w:rPr>
      </w:pPr>
      <w:r w:rsidRPr="00905A49">
        <w:rPr>
          <w:rFonts w:cstheme="minorHAnsi"/>
        </w:rPr>
        <w:t xml:space="preserve">Theatres, including any play, </w:t>
      </w:r>
      <w:proofErr w:type="spellStart"/>
      <w:r w:rsidRPr="00905A49">
        <w:rPr>
          <w:rFonts w:cstheme="minorHAnsi"/>
        </w:rPr>
        <w:t>dramatisation</w:t>
      </w:r>
      <w:proofErr w:type="spellEnd"/>
      <w:r w:rsidRPr="00905A49">
        <w:rPr>
          <w:rFonts w:cstheme="minorHAnsi"/>
        </w:rPr>
        <w:t>, concert, hypnotism act to which the Hypnotism Act 1952 applies, or comedy act</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Billiards, snooker or pool halls</w:t>
      </w:r>
    </w:p>
    <w:p w:rsidR="00905A49" w:rsidRPr="00905A49" w:rsidRDefault="00905A49" w:rsidP="009B609F">
      <w:pPr>
        <w:pStyle w:val="ListParagraph"/>
        <w:numPr>
          <w:ilvl w:val="0"/>
          <w:numId w:val="1"/>
        </w:numPr>
        <w:autoSpaceDE w:val="0"/>
        <w:autoSpaceDN w:val="0"/>
        <w:adjustRightInd w:val="0"/>
        <w:spacing w:after="0" w:line="240" w:lineRule="auto"/>
        <w:rPr>
          <w:rFonts w:cstheme="minorHAnsi"/>
        </w:rPr>
      </w:pPr>
      <w:r w:rsidRPr="00905A49">
        <w:rPr>
          <w:rFonts w:cstheme="minorHAnsi"/>
        </w:rPr>
        <w:t>Any exhibition to which the Hypnotism Act 1952 applies insofar as not covered by the definition of Theatres</w:t>
      </w:r>
    </w:p>
    <w:p w:rsidR="00905A49" w:rsidRPr="00905A49" w:rsidRDefault="00905A49" w:rsidP="00D832D6">
      <w:pPr>
        <w:pStyle w:val="ListParagraph"/>
        <w:numPr>
          <w:ilvl w:val="0"/>
          <w:numId w:val="1"/>
        </w:numPr>
        <w:autoSpaceDE w:val="0"/>
        <w:autoSpaceDN w:val="0"/>
        <w:adjustRightInd w:val="0"/>
        <w:spacing w:after="0" w:line="240" w:lineRule="auto"/>
        <w:rPr>
          <w:rFonts w:cstheme="minorHAnsi"/>
        </w:rPr>
      </w:pPr>
      <w:r w:rsidRPr="00905A49">
        <w:rPr>
          <w:rFonts w:cstheme="minorHAnsi"/>
        </w:rPr>
        <w:t>Exhibitions of objects such as paintings, sculptures, drawings or historical artefacts</w:t>
      </w:r>
    </w:p>
    <w:p w:rsidR="00905A49" w:rsidRPr="00905A49" w:rsidRDefault="00905A49" w:rsidP="006B376A">
      <w:pPr>
        <w:pStyle w:val="ListParagraph"/>
        <w:numPr>
          <w:ilvl w:val="0"/>
          <w:numId w:val="1"/>
        </w:numPr>
        <w:autoSpaceDE w:val="0"/>
        <w:autoSpaceDN w:val="0"/>
        <w:adjustRightInd w:val="0"/>
        <w:spacing w:after="0" w:line="240" w:lineRule="auto"/>
        <w:rPr>
          <w:rFonts w:cstheme="minorHAnsi"/>
        </w:rPr>
      </w:pPr>
      <w:r w:rsidRPr="00905A49">
        <w:rPr>
          <w:rFonts w:cstheme="minorHAnsi"/>
        </w:rPr>
        <w:t>Exhibitions of persons, including but not limited to boxing, wrestling, cage fighting or martial arts (where not already covered by an Indoor Sports Entertainment Licence)</w:t>
      </w:r>
    </w:p>
    <w:p w:rsidR="00905A49" w:rsidRPr="00905A49" w:rsidRDefault="00905A49" w:rsidP="00A94CE0">
      <w:pPr>
        <w:pStyle w:val="ListParagraph"/>
        <w:numPr>
          <w:ilvl w:val="0"/>
          <w:numId w:val="1"/>
        </w:numPr>
        <w:autoSpaceDE w:val="0"/>
        <w:autoSpaceDN w:val="0"/>
        <w:adjustRightInd w:val="0"/>
        <w:spacing w:after="0" w:line="240" w:lineRule="auto"/>
        <w:rPr>
          <w:rFonts w:cstheme="minorHAnsi"/>
        </w:rPr>
      </w:pPr>
      <w:r w:rsidRPr="00905A49">
        <w:rPr>
          <w:rFonts w:cstheme="minorHAnsi"/>
        </w:rPr>
        <w:t>Saunas, massage parlours, tanning salons, nail bars, health clubs or gymnasia</w:t>
      </w:r>
    </w:p>
    <w:p w:rsidR="00905A49" w:rsidRPr="00905A49" w:rsidRDefault="00905A49" w:rsidP="00D932A0">
      <w:pPr>
        <w:pStyle w:val="ListParagraph"/>
        <w:numPr>
          <w:ilvl w:val="0"/>
          <w:numId w:val="1"/>
        </w:numPr>
        <w:autoSpaceDE w:val="0"/>
        <w:autoSpaceDN w:val="0"/>
        <w:adjustRightInd w:val="0"/>
        <w:spacing w:after="0" w:line="240" w:lineRule="auto"/>
        <w:rPr>
          <w:rFonts w:cstheme="minorHAnsi"/>
        </w:rPr>
      </w:pPr>
      <w:r w:rsidRPr="00905A49">
        <w:rPr>
          <w:rFonts w:cstheme="minorHAnsi"/>
        </w:rPr>
        <w:t xml:space="preserve">Circuses, carnivals and funfairs, including merry-go-rounds, roundabouts, swings, switchback railways, skittle alleys, coconut shies, </w:t>
      </w:r>
      <w:proofErr w:type="spellStart"/>
      <w:r w:rsidRPr="00905A49">
        <w:rPr>
          <w:rFonts w:cstheme="minorHAnsi"/>
        </w:rPr>
        <w:t>hooplas</w:t>
      </w:r>
      <w:proofErr w:type="spellEnd"/>
      <w:r w:rsidRPr="00905A49">
        <w:rPr>
          <w:rFonts w:cstheme="minorHAnsi"/>
        </w:rPr>
        <w:t>, mechanical riding, driving or boating apparatus or anything similar to any of the foregoing</w:t>
      </w:r>
    </w:p>
    <w:p w:rsidR="00905A49" w:rsidRPr="00905A49" w:rsidRDefault="00905A49" w:rsidP="002A0F6A">
      <w:pPr>
        <w:pStyle w:val="ListParagraph"/>
        <w:numPr>
          <w:ilvl w:val="0"/>
          <w:numId w:val="1"/>
        </w:numPr>
        <w:autoSpaceDE w:val="0"/>
        <w:autoSpaceDN w:val="0"/>
        <w:adjustRightInd w:val="0"/>
        <w:spacing w:after="0" w:line="240" w:lineRule="auto"/>
        <w:rPr>
          <w:rFonts w:cstheme="minorHAnsi"/>
        </w:rPr>
      </w:pPr>
      <w:r w:rsidRPr="00905A49">
        <w:rPr>
          <w:rFonts w:cstheme="minorHAnsi"/>
        </w:rPr>
        <w:t>Any activities involving shooting, including but not limited to archery, clay pigeon shooting, or paintball</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Laser or war gaming</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Motor cycle and quad bike scrambling</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Track racing and go-carting</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Indoor or open air festivals or variety concerts, shows or performances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proofErr w:type="spellStart"/>
      <w:r w:rsidRPr="00905A49">
        <w:rPr>
          <w:rFonts w:cstheme="minorHAnsi"/>
        </w:rPr>
        <w:t>Airshows</w:t>
      </w:r>
      <w:proofErr w:type="spellEnd"/>
    </w:p>
    <w:p w:rsidR="00905A49" w:rsidRPr="00905A49" w:rsidRDefault="00905A49" w:rsidP="00AF088D">
      <w:pPr>
        <w:pStyle w:val="ListParagraph"/>
        <w:numPr>
          <w:ilvl w:val="0"/>
          <w:numId w:val="1"/>
        </w:numPr>
        <w:autoSpaceDE w:val="0"/>
        <w:autoSpaceDN w:val="0"/>
        <w:adjustRightInd w:val="0"/>
        <w:spacing w:after="0" w:line="240" w:lineRule="auto"/>
        <w:rPr>
          <w:rFonts w:cstheme="minorHAnsi"/>
        </w:rPr>
      </w:pPr>
      <w:r w:rsidRPr="00905A49">
        <w:rPr>
          <w:rFonts w:cstheme="minorHAnsi"/>
        </w:rPr>
        <w:t>Amusement arcades with automatic or other machines, including but not limited to video gaming machines, intended for entertainment or amusement which are not licensed in terms of the Gambling Act 2005</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Escape rooms (including puzzle and breakout rooms)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Bouncy castles or similar structures, or trampoline venues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Internal or external children’s play areas including soft play areas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Indoor bowling alleys including ten pin bowling alleys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Bungee jumping or catapulting</w:t>
      </w:r>
    </w:p>
    <w:p w:rsidR="00905A49" w:rsidRPr="00905A49" w:rsidRDefault="00905A49" w:rsidP="00BF53DE">
      <w:pPr>
        <w:pStyle w:val="ListParagraph"/>
        <w:numPr>
          <w:ilvl w:val="0"/>
          <w:numId w:val="1"/>
        </w:numPr>
        <w:autoSpaceDE w:val="0"/>
        <w:autoSpaceDN w:val="0"/>
        <w:adjustRightInd w:val="0"/>
        <w:spacing w:after="0" w:line="240" w:lineRule="auto"/>
        <w:rPr>
          <w:rFonts w:cstheme="minorHAnsi"/>
        </w:rPr>
      </w:pPr>
      <w:r w:rsidRPr="00905A49">
        <w:rPr>
          <w:rFonts w:cstheme="minorHAnsi"/>
        </w:rPr>
        <w:lastRenderedPageBreak/>
        <w:t>Outdoor adventure or activity parks or anything similar to the foregoing Water sports activities including raft races, wake boarding, water skiing, sail boarding, canoeing and jet skiing activities (where the activity is not licensed as defined by a Boat Hire Licence)</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Fireworks or bonfire displays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Torchlight processions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Agricultural, equestrian or livestock shows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Skate parks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Major Sporting events such as Golf Opens</w:t>
      </w:r>
    </w:p>
    <w:p w:rsidR="00905A49" w:rsidRPr="00905A49" w:rsidRDefault="00905A49" w:rsidP="00905A49">
      <w:pPr>
        <w:pStyle w:val="ListParagraph"/>
        <w:numPr>
          <w:ilvl w:val="0"/>
          <w:numId w:val="1"/>
        </w:numPr>
        <w:autoSpaceDE w:val="0"/>
        <w:autoSpaceDN w:val="0"/>
        <w:adjustRightInd w:val="0"/>
        <w:spacing w:after="0" w:line="240" w:lineRule="auto"/>
        <w:rPr>
          <w:rFonts w:cstheme="minorHAnsi"/>
        </w:rPr>
      </w:pPr>
      <w:r w:rsidRPr="00905A49">
        <w:rPr>
          <w:rFonts w:cstheme="minorHAnsi"/>
        </w:rPr>
        <w:t>Highland Games</w:t>
      </w:r>
    </w:p>
    <w:p w:rsidR="00905A49" w:rsidRPr="00905A49" w:rsidRDefault="00905A49" w:rsidP="00905A49">
      <w:pPr>
        <w:pStyle w:val="ListParagraph"/>
        <w:numPr>
          <w:ilvl w:val="0"/>
          <w:numId w:val="1"/>
        </w:numPr>
        <w:spacing w:after="0"/>
        <w:rPr>
          <w:rFonts w:cstheme="minorHAnsi"/>
        </w:rPr>
      </w:pPr>
      <w:r w:rsidRPr="00905A49">
        <w:rPr>
          <w:rFonts w:cstheme="minorHAnsi"/>
        </w:rPr>
        <w:t>“Boot camp” type organised exercise and fitness activities</w:t>
      </w:r>
    </w:p>
    <w:p w:rsidR="009C569D" w:rsidRDefault="009C569D">
      <w:pPr>
        <w:rPr>
          <w:rFonts w:cstheme="minorHAnsi"/>
        </w:rPr>
      </w:pPr>
    </w:p>
    <w:p w:rsidR="00905A49" w:rsidRPr="00905A49" w:rsidRDefault="00905A49">
      <w:pPr>
        <w:rPr>
          <w:rFonts w:cstheme="minorHAnsi"/>
        </w:rPr>
      </w:pPr>
      <w:r>
        <w:rPr>
          <w:rFonts w:cstheme="minorHAnsi"/>
        </w:rPr>
        <w:t>East Lothian Council, Legal and Democratic Services, John Muir House, Brewery Park, Haddington, EH41 3HA e: licensing@eastlothian.gov.uk</w:t>
      </w:r>
    </w:p>
    <w:sectPr w:rsidR="00905A49" w:rsidRPr="00905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177"/>
    <w:multiLevelType w:val="hybridMultilevel"/>
    <w:tmpl w:val="A34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9D"/>
    <w:rsid w:val="000C666A"/>
    <w:rsid w:val="00770575"/>
    <w:rsid w:val="00905A49"/>
    <w:rsid w:val="009C569D"/>
    <w:rsid w:val="00C46036"/>
    <w:rsid w:val="00D61B62"/>
    <w:rsid w:val="00D9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6AA3C-428D-4008-93BA-591239AC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4</cp:revision>
  <dcterms:created xsi:type="dcterms:W3CDTF">2020-10-22T13:50:00Z</dcterms:created>
  <dcterms:modified xsi:type="dcterms:W3CDTF">2020-11-02T10:56:00Z</dcterms:modified>
</cp:coreProperties>
</file>