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E6" w:rsidRPr="00B84C7A" w:rsidRDefault="00520869">
      <w:pPr>
        <w:rPr>
          <w:b/>
          <w:sz w:val="24"/>
        </w:rPr>
      </w:pPr>
      <w:r w:rsidRPr="00B84C7A">
        <w:rPr>
          <w:b/>
          <w:sz w:val="24"/>
        </w:rPr>
        <w:t>Char</w:t>
      </w:r>
      <w:r w:rsidR="00B84C7A">
        <w:rPr>
          <w:b/>
          <w:sz w:val="24"/>
        </w:rPr>
        <w:t>ges Benchmarking and Financial Modelling S</w:t>
      </w:r>
      <w:r w:rsidRPr="00B84C7A">
        <w:rPr>
          <w:b/>
          <w:sz w:val="24"/>
        </w:rPr>
        <w:t>ummary</w:t>
      </w:r>
      <w:bookmarkStart w:id="0" w:name="_GoBack"/>
      <w:bookmarkEnd w:id="0"/>
    </w:p>
    <w:p w:rsidR="00C87BF2" w:rsidRDefault="00520869">
      <w:r>
        <w:t>This is a first draft of modelling work that had been undertaken to date. This work is on-going and will continually inform this detail as it becomes available. This currently does not contain information on benchmarking the setting of our tapers and buffers against other authorities as this is yet to be done.</w:t>
      </w:r>
    </w:p>
    <w:p w:rsidR="00520869" w:rsidRDefault="00520869">
      <w:r>
        <w:t>A report was recently commissioned by Price Waterhouse Cooper which aimed to benchmark where East Lothian Council is with all of its charging in relation to the other authorities. Outlined below are some areas of that benchmarking in summary.</w:t>
      </w:r>
    </w:p>
    <w:p w:rsidR="00520869" w:rsidRDefault="00C86C56" w:rsidP="00C86C56">
      <w:pPr>
        <w:pStyle w:val="ListParagraph"/>
        <w:numPr>
          <w:ilvl w:val="0"/>
          <w:numId w:val="1"/>
        </w:numPr>
        <w:rPr>
          <w:b/>
        </w:rPr>
      </w:pPr>
      <w:r w:rsidRPr="00C86C56">
        <w:rPr>
          <w:b/>
        </w:rPr>
        <w:t>As an area East Lothian is in the second least deprived quartile in Scotland.</w:t>
      </w:r>
    </w:p>
    <w:p w:rsidR="00C86C56" w:rsidRDefault="00C86C56" w:rsidP="00C86C56">
      <w:pPr>
        <w:pStyle w:val="ListParagraph"/>
        <w:numPr>
          <w:ilvl w:val="0"/>
          <w:numId w:val="1"/>
        </w:numPr>
        <w:rPr>
          <w:b/>
        </w:rPr>
      </w:pPr>
      <w:r>
        <w:rPr>
          <w:b/>
        </w:rPr>
        <w:t>The average % social work income versus expenditure in Scotland is 25%. East Lothian is at 13%.</w:t>
      </w:r>
      <w:r w:rsidR="00FA1FF5">
        <w:rPr>
          <w:b/>
        </w:rPr>
        <w:t xml:space="preserve"> The highest authority is 50%.</w:t>
      </w:r>
    </w:p>
    <w:p w:rsidR="00C86C56" w:rsidRDefault="00C86C56" w:rsidP="00C86C56">
      <w:pPr>
        <w:pStyle w:val="ListParagraph"/>
        <w:numPr>
          <w:ilvl w:val="0"/>
          <w:numId w:val="1"/>
        </w:numPr>
        <w:rPr>
          <w:b/>
        </w:rPr>
      </w:pPr>
      <w:r>
        <w:rPr>
          <w:b/>
        </w:rPr>
        <w:t xml:space="preserve">In overall ranking East Lothian ranks 31 out of 32 for the level of </w:t>
      </w:r>
      <w:r w:rsidR="00B84C7A">
        <w:rPr>
          <w:b/>
        </w:rPr>
        <w:t>its</w:t>
      </w:r>
      <w:r>
        <w:rPr>
          <w:b/>
        </w:rPr>
        <w:t xml:space="preserve"> charging and so is the second least charging authority.</w:t>
      </w:r>
    </w:p>
    <w:p w:rsidR="00C86C56" w:rsidRPr="00C86C56" w:rsidRDefault="00C86C56" w:rsidP="00C86C56">
      <w:pPr>
        <w:rPr>
          <w:b/>
        </w:rPr>
      </w:pPr>
      <w:r>
        <w:rPr>
          <w:b/>
        </w:rPr>
        <w:t>Below you can see how EL charges compare with an average across Scotland and the lowest and highest in</w:t>
      </w:r>
      <w:r w:rsidR="00B84C7A">
        <w:rPr>
          <w:b/>
        </w:rPr>
        <w:t xml:space="preserve"> Scotland. These figures are out</w:t>
      </w:r>
      <w:r>
        <w:rPr>
          <w:b/>
        </w:rPr>
        <w:t xml:space="preserve"> of date in the PWC report and are accurate in the financial modelling below.</w:t>
      </w:r>
    </w:p>
    <w:tbl>
      <w:tblPr>
        <w:tblStyle w:val="TableGrid"/>
        <w:tblW w:w="0" w:type="auto"/>
        <w:tblLook w:val="04A0" w:firstRow="1" w:lastRow="0" w:firstColumn="1" w:lastColumn="0" w:noHBand="0" w:noVBand="1"/>
      </w:tblPr>
      <w:tblGrid>
        <w:gridCol w:w="2789"/>
        <w:gridCol w:w="2789"/>
        <w:gridCol w:w="2790"/>
        <w:gridCol w:w="2790"/>
        <w:gridCol w:w="2790"/>
      </w:tblGrid>
      <w:tr w:rsidR="00C86C56" w:rsidTr="00C86C56">
        <w:tc>
          <w:tcPr>
            <w:tcW w:w="2789" w:type="dxa"/>
          </w:tcPr>
          <w:p w:rsidR="00C86C56" w:rsidRDefault="00C86C56" w:rsidP="00C86C56">
            <w:pPr>
              <w:rPr>
                <w:b/>
              </w:rPr>
            </w:pPr>
            <w:r>
              <w:rPr>
                <w:b/>
              </w:rPr>
              <w:t>Service</w:t>
            </w:r>
          </w:p>
        </w:tc>
        <w:tc>
          <w:tcPr>
            <w:tcW w:w="2789" w:type="dxa"/>
          </w:tcPr>
          <w:p w:rsidR="00C86C56" w:rsidRDefault="00C86C56" w:rsidP="00C86C56">
            <w:pPr>
              <w:rPr>
                <w:b/>
              </w:rPr>
            </w:pPr>
            <w:r>
              <w:rPr>
                <w:b/>
              </w:rPr>
              <w:t>East Lothian</w:t>
            </w:r>
          </w:p>
        </w:tc>
        <w:tc>
          <w:tcPr>
            <w:tcW w:w="2790" w:type="dxa"/>
          </w:tcPr>
          <w:p w:rsidR="00C86C56" w:rsidRDefault="00C86C56" w:rsidP="00C86C56">
            <w:pPr>
              <w:rPr>
                <w:b/>
              </w:rPr>
            </w:pPr>
            <w:r>
              <w:rPr>
                <w:b/>
              </w:rPr>
              <w:t>Average</w:t>
            </w:r>
          </w:p>
        </w:tc>
        <w:tc>
          <w:tcPr>
            <w:tcW w:w="2790" w:type="dxa"/>
          </w:tcPr>
          <w:p w:rsidR="00C86C56" w:rsidRDefault="00C86C56" w:rsidP="00C86C56">
            <w:pPr>
              <w:rPr>
                <w:b/>
              </w:rPr>
            </w:pPr>
            <w:r>
              <w:rPr>
                <w:b/>
              </w:rPr>
              <w:t>Lowest</w:t>
            </w:r>
          </w:p>
        </w:tc>
        <w:tc>
          <w:tcPr>
            <w:tcW w:w="2790" w:type="dxa"/>
          </w:tcPr>
          <w:p w:rsidR="00C86C56" w:rsidRDefault="00C86C56" w:rsidP="00C86C56">
            <w:pPr>
              <w:rPr>
                <w:b/>
              </w:rPr>
            </w:pPr>
            <w:r>
              <w:rPr>
                <w:b/>
              </w:rPr>
              <w:t>Highest</w:t>
            </w:r>
          </w:p>
        </w:tc>
      </w:tr>
      <w:tr w:rsidR="00C86C56" w:rsidTr="00C86C56">
        <w:tc>
          <w:tcPr>
            <w:tcW w:w="2789" w:type="dxa"/>
          </w:tcPr>
          <w:p w:rsidR="00C86C56" w:rsidRDefault="00C86C56" w:rsidP="00C86C56">
            <w:pPr>
              <w:rPr>
                <w:b/>
              </w:rPr>
            </w:pPr>
            <w:r>
              <w:rPr>
                <w:b/>
              </w:rPr>
              <w:t>Telecare / alarm per week</w:t>
            </w:r>
          </w:p>
        </w:tc>
        <w:tc>
          <w:tcPr>
            <w:tcW w:w="2789" w:type="dxa"/>
          </w:tcPr>
          <w:p w:rsidR="00C86C56" w:rsidRDefault="00C86C56" w:rsidP="00C86C56">
            <w:pPr>
              <w:rPr>
                <w:b/>
              </w:rPr>
            </w:pPr>
            <w:r>
              <w:rPr>
                <w:b/>
              </w:rPr>
              <w:t>£2.00</w:t>
            </w:r>
          </w:p>
        </w:tc>
        <w:tc>
          <w:tcPr>
            <w:tcW w:w="2790" w:type="dxa"/>
          </w:tcPr>
          <w:p w:rsidR="00C86C56" w:rsidRDefault="00C86C56" w:rsidP="00C86C56">
            <w:pPr>
              <w:rPr>
                <w:b/>
              </w:rPr>
            </w:pPr>
            <w:r>
              <w:rPr>
                <w:b/>
              </w:rPr>
              <w:t>£2.78</w:t>
            </w:r>
          </w:p>
        </w:tc>
        <w:tc>
          <w:tcPr>
            <w:tcW w:w="2790" w:type="dxa"/>
          </w:tcPr>
          <w:p w:rsidR="00C86C56" w:rsidRDefault="00C86C56" w:rsidP="00C86C56">
            <w:pPr>
              <w:rPr>
                <w:b/>
              </w:rPr>
            </w:pPr>
            <w:r>
              <w:rPr>
                <w:b/>
              </w:rPr>
              <w:t>£0.00</w:t>
            </w:r>
          </w:p>
        </w:tc>
        <w:tc>
          <w:tcPr>
            <w:tcW w:w="2790" w:type="dxa"/>
          </w:tcPr>
          <w:p w:rsidR="00C86C56" w:rsidRDefault="00C86C56" w:rsidP="00C86C56">
            <w:pPr>
              <w:rPr>
                <w:b/>
              </w:rPr>
            </w:pPr>
            <w:r>
              <w:rPr>
                <w:b/>
              </w:rPr>
              <w:t>£5.00</w:t>
            </w:r>
          </w:p>
        </w:tc>
      </w:tr>
      <w:tr w:rsidR="00C86C56" w:rsidTr="00C86C56">
        <w:tc>
          <w:tcPr>
            <w:tcW w:w="2789" w:type="dxa"/>
          </w:tcPr>
          <w:p w:rsidR="00C86C56" w:rsidRDefault="00C86C56" w:rsidP="00C86C56">
            <w:pPr>
              <w:rPr>
                <w:b/>
              </w:rPr>
            </w:pPr>
            <w:r>
              <w:rPr>
                <w:b/>
              </w:rPr>
              <w:t>Care home per week</w:t>
            </w:r>
          </w:p>
        </w:tc>
        <w:tc>
          <w:tcPr>
            <w:tcW w:w="2789" w:type="dxa"/>
          </w:tcPr>
          <w:p w:rsidR="00C86C56" w:rsidRDefault="00C86C56" w:rsidP="00C86C56">
            <w:pPr>
              <w:rPr>
                <w:b/>
              </w:rPr>
            </w:pPr>
            <w:r>
              <w:rPr>
                <w:b/>
              </w:rPr>
              <w:t>£525</w:t>
            </w:r>
          </w:p>
        </w:tc>
        <w:tc>
          <w:tcPr>
            <w:tcW w:w="2790" w:type="dxa"/>
          </w:tcPr>
          <w:p w:rsidR="00C86C56" w:rsidRDefault="00C86C56" w:rsidP="00C86C56">
            <w:pPr>
              <w:rPr>
                <w:b/>
              </w:rPr>
            </w:pPr>
            <w:r>
              <w:rPr>
                <w:b/>
              </w:rPr>
              <w:t>£628</w:t>
            </w:r>
          </w:p>
        </w:tc>
        <w:tc>
          <w:tcPr>
            <w:tcW w:w="2790" w:type="dxa"/>
          </w:tcPr>
          <w:p w:rsidR="00C86C56" w:rsidRDefault="00C86C56" w:rsidP="00C86C56">
            <w:pPr>
              <w:rPr>
                <w:b/>
              </w:rPr>
            </w:pPr>
            <w:r>
              <w:rPr>
                <w:b/>
              </w:rPr>
              <w:t>£150</w:t>
            </w:r>
          </w:p>
        </w:tc>
        <w:tc>
          <w:tcPr>
            <w:tcW w:w="2790" w:type="dxa"/>
          </w:tcPr>
          <w:p w:rsidR="00C86C56" w:rsidRDefault="00C86C56" w:rsidP="00C86C56">
            <w:pPr>
              <w:rPr>
                <w:b/>
              </w:rPr>
            </w:pPr>
            <w:r>
              <w:rPr>
                <w:b/>
              </w:rPr>
              <w:t>£1,173</w:t>
            </w:r>
          </w:p>
        </w:tc>
      </w:tr>
      <w:tr w:rsidR="00C86C56" w:rsidTr="00C86C56">
        <w:tc>
          <w:tcPr>
            <w:tcW w:w="2789" w:type="dxa"/>
          </w:tcPr>
          <w:p w:rsidR="00C86C56" w:rsidRDefault="00C86C56" w:rsidP="00C86C56">
            <w:pPr>
              <w:rPr>
                <w:b/>
              </w:rPr>
            </w:pPr>
            <w:r>
              <w:rPr>
                <w:b/>
              </w:rPr>
              <w:t>Care at home per hour</w:t>
            </w:r>
          </w:p>
        </w:tc>
        <w:tc>
          <w:tcPr>
            <w:tcW w:w="2789" w:type="dxa"/>
          </w:tcPr>
          <w:p w:rsidR="00C86C56" w:rsidRDefault="00C86C56" w:rsidP="00C86C56">
            <w:pPr>
              <w:rPr>
                <w:b/>
              </w:rPr>
            </w:pPr>
            <w:r>
              <w:rPr>
                <w:b/>
              </w:rPr>
              <w:t>£11.50</w:t>
            </w:r>
          </w:p>
        </w:tc>
        <w:tc>
          <w:tcPr>
            <w:tcW w:w="2790" w:type="dxa"/>
          </w:tcPr>
          <w:p w:rsidR="00C86C56" w:rsidRDefault="00C86C56" w:rsidP="00C86C56">
            <w:pPr>
              <w:rPr>
                <w:b/>
              </w:rPr>
            </w:pPr>
            <w:r>
              <w:rPr>
                <w:b/>
              </w:rPr>
              <w:t>£12.55</w:t>
            </w:r>
          </w:p>
        </w:tc>
        <w:tc>
          <w:tcPr>
            <w:tcW w:w="2790" w:type="dxa"/>
          </w:tcPr>
          <w:p w:rsidR="00C86C56" w:rsidRDefault="00C86C56" w:rsidP="00C86C56">
            <w:pPr>
              <w:rPr>
                <w:b/>
              </w:rPr>
            </w:pPr>
            <w:r>
              <w:rPr>
                <w:b/>
              </w:rPr>
              <w:t>£0.00</w:t>
            </w:r>
          </w:p>
        </w:tc>
        <w:tc>
          <w:tcPr>
            <w:tcW w:w="2790" w:type="dxa"/>
          </w:tcPr>
          <w:p w:rsidR="00C86C56" w:rsidRDefault="00C86C56" w:rsidP="00C86C56">
            <w:pPr>
              <w:rPr>
                <w:b/>
              </w:rPr>
            </w:pPr>
            <w:r>
              <w:rPr>
                <w:b/>
              </w:rPr>
              <w:t>£17.22</w:t>
            </w:r>
          </w:p>
        </w:tc>
      </w:tr>
      <w:tr w:rsidR="00C86C56" w:rsidTr="00C86C56">
        <w:tc>
          <w:tcPr>
            <w:tcW w:w="2789" w:type="dxa"/>
          </w:tcPr>
          <w:p w:rsidR="00C86C56" w:rsidRDefault="00C86C56" w:rsidP="00C86C56">
            <w:pPr>
              <w:rPr>
                <w:b/>
              </w:rPr>
            </w:pPr>
            <w:r>
              <w:rPr>
                <w:b/>
              </w:rPr>
              <w:t>Night time support per hour</w:t>
            </w:r>
          </w:p>
        </w:tc>
        <w:tc>
          <w:tcPr>
            <w:tcW w:w="2789" w:type="dxa"/>
          </w:tcPr>
          <w:p w:rsidR="00C86C56" w:rsidRDefault="00C86C56" w:rsidP="00C86C56">
            <w:pPr>
              <w:rPr>
                <w:b/>
              </w:rPr>
            </w:pPr>
            <w:r>
              <w:rPr>
                <w:b/>
              </w:rPr>
              <w:t>£3.20</w:t>
            </w:r>
          </w:p>
        </w:tc>
        <w:tc>
          <w:tcPr>
            <w:tcW w:w="2790" w:type="dxa"/>
          </w:tcPr>
          <w:p w:rsidR="00C86C56" w:rsidRDefault="00C86C56" w:rsidP="00C86C56">
            <w:pPr>
              <w:rPr>
                <w:b/>
              </w:rPr>
            </w:pPr>
            <w:r>
              <w:rPr>
                <w:b/>
              </w:rPr>
              <w:t>£10.21</w:t>
            </w:r>
          </w:p>
        </w:tc>
        <w:tc>
          <w:tcPr>
            <w:tcW w:w="2790" w:type="dxa"/>
          </w:tcPr>
          <w:p w:rsidR="00C86C56" w:rsidRDefault="00C86C56" w:rsidP="00C86C56">
            <w:pPr>
              <w:rPr>
                <w:b/>
              </w:rPr>
            </w:pPr>
            <w:r>
              <w:rPr>
                <w:b/>
              </w:rPr>
              <w:t>£0.00</w:t>
            </w:r>
          </w:p>
        </w:tc>
        <w:tc>
          <w:tcPr>
            <w:tcW w:w="2790" w:type="dxa"/>
          </w:tcPr>
          <w:p w:rsidR="00C86C56" w:rsidRDefault="00C86C56" w:rsidP="00C86C56">
            <w:pPr>
              <w:rPr>
                <w:b/>
              </w:rPr>
            </w:pPr>
            <w:r>
              <w:rPr>
                <w:b/>
              </w:rPr>
              <w:t>£28.00</w:t>
            </w:r>
          </w:p>
        </w:tc>
      </w:tr>
      <w:tr w:rsidR="00C86C56" w:rsidTr="00C86C56">
        <w:tc>
          <w:tcPr>
            <w:tcW w:w="2789" w:type="dxa"/>
          </w:tcPr>
          <w:p w:rsidR="00C86C56" w:rsidRDefault="00C86C56" w:rsidP="00C86C56">
            <w:pPr>
              <w:rPr>
                <w:b/>
              </w:rPr>
            </w:pPr>
            <w:r>
              <w:rPr>
                <w:b/>
              </w:rPr>
              <w:t>Meals per meal</w:t>
            </w:r>
          </w:p>
        </w:tc>
        <w:tc>
          <w:tcPr>
            <w:tcW w:w="2789" w:type="dxa"/>
          </w:tcPr>
          <w:p w:rsidR="00C86C56" w:rsidRDefault="00FA1FF5" w:rsidP="00C86C56">
            <w:pPr>
              <w:rPr>
                <w:b/>
              </w:rPr>
            </w:pPr>
            <w:r>
              <w:rPr>
                <w:b/>
              </w:rPr>
              <w:t>£2.90</w:t>
            </w:r>
          </w:p>
        </w:tc>
        <w:tc>
          <w:tcPr>
            <w:tcW w:w="2790" w:type="dxa"/>
          </w:tcPr>
          <w:p w:rsidR="00C86C56" w:rsidRDefault="00FA1FF5" w:rsidP="00C86C56">
            <w:pPr>
              <w:rPr>
                <w:b/>
              </w:rPr>
            </w:pPr>
            <w:r>
              <w:rPr>
                <w:b/>
              </w:rPr>
              <w:t>£3.07</w:t>
            </w:r>
          </w:p>
        </w:tc>
        <w:tc>
          <w:tcPr>
            <w:tcW w:w="2790" w:type="dxa"/>
          </w:tcPr>
          <w:p w:rsidR="00C86C56" w:rsidRDefault="00FA1FF5" w:rsidP="00C86C56">
            <w:pPr>
              <w:rPr>
                <w:b/>
              </w:rPr>
            </w:pPr>
            <w:r>
              <w:rPr>
                <w:b/>
              </w:rPr>
              <w:t>£1.54</w:t>
            </w:r>
          </w:p>
        </w:tc>
        <w:tc>
          <w:tcPr>
            <w:tcW w:w="2790" w:type="dxa"/>
          </w:tcPr>
          <w:p w:rsidR="00C86C56" w:rsidRDefault="00FA1FF5" w:rsidP="00C86C56">
            <w:pPr>
              <w:rPr>
                <w:b/>
              </w:rPr>
            </w:pPr>
            <w:r>
              <w:rPr>
                <w:b/>
              </w:rPr>
              <w:t>£5.20</w:t>
            </w:r>
          </w:p>
        </w:tc>
      </w:tr>
      <w:tr w:rsidR="00C86C56" w:rsidTr="00C86C56">
        <w:tc>
          <w:tcPr>
            <w:tcW w:w="2789" w:type="dxa"/>
          </w:tcPr>
          <w:p w:rsidR="00C86C56" w:rsidRDefault="00FA1FF5" w:rsidP="00C86C56">
            <w:pPr>
              <w:rPr>
                <w:b/>
              </w:rPr>
            </w:pPr>
            <w:r>
              <w:rPr>
                <w:b/>
              </w:rPr>
              <w:t>Respite per week</w:t>
            </w:r>
          </w:p>
        </w:tc>
        <w:tc>
          <w:tcPr>
            <w:tcW w:w="2789" w:type="dxa"/>
          </w:tcPr>
          <w:p w:rsidR="00C86C56" w:rsidRDefault="00FA1FF5" w:rsidP="00C86C56">
            <w:pPr>
              <w:rPr>
                <w:b/>
              </w:rPr>
            </w:pPr>
            <w:r>
              <w:rPr>
                <w:b/>
              </w:rPr>
              <w:t>£874</w:t>
            </w:r>
          </w:p>
        </w:tc>
        <w:tc>
          <w:tcPr>
            <w:tcW w:w="2790" w:type="dxa"/>
          </w:tcPr>
          <w:p w:rsidR="00C86C56" w:rsidRDefault="00FA1FF5" w:rsidP="00C86C56">
            <w:pPr>
              <w:rPr>
                <w:b/>
              </w:rPr>
            </w:pPr>
            <w:r>
              <w:rPr>
                <w:b/>
              </w:rPr>
              <w:t>£346</w:t>
            </w:r>
          </w:p>
        </w:tc>
        <w:tc>
          <w:tcPr>
            <w:tcW w:w="2790" w:type="dxa"/>
          </w:tcPr>
          <w:p w:rsidR="00C86C56" w:rsidRDefault="00FA1FF5" w:rsidP="00C86C56">
            <w:pPr>
              <w:rPr>
                <w:b/>
              </w:rPr>
            </w:pPr>
            <w:r>
              <w:rPr>
                <w:b/>
              </w:rPr>
              <w:t>£64</w:t>
            </w:r>
          </w:p>
        </w:tc>
        <w:tc>
          <w:tcPr>
            <w:tcW w:w="2790" w:type="dxa"/>
          </w:tcPr>
          <w:p w:rsidR="00C86C56" w:rsidRDefault="00FA1FF5" w:rsidP="00C86C56">
            <w:pPr>
              <w:rPr>
                <w:b/>
              </w:rPr>
            </w:pPr>
            <w:r>
              <w:rPr>
                <w:b/>
              </w:rPr>
              <w:t>£1,030</w:t>
            </w:r>
          </w:p>
        </w:tc>
      </w:tr>
      <w:tr w:rsidR="00C86C56" w:rsidTr="00C86C56">
        <w:tc>
          <w:tcPr>
            <w:tcW w:w="2789" w:type="dxa"/>
          </w:tcPr>
          <w:p w:rsidR="00C86C56" w:rsidRDefault="00FA1FF5" w:rsidP="00C86C56">
            <w:pPr>
              <w:rPr>
                <w:b/>
              </w:rPr>
            </w:pPr>
            <w:r>
              <w:rPr>
                <w:b/>
              </w:rPr>
              <w:t>Day care per day</w:t>
            </w:r>
            <w:r w:rsidR="00852040">
              <w:rPr>
                <w:rStyle w:val="FootnoteReference"/>
                <w:b/>
              </w:rPr>
              <w:footnoteReference w:id="1"/>
            </w:r>
          </w:p>
        </w:tc>
        <w:tc>
          <w:tcPr>
            <w:tcW w:w="2789" w:type="dxa"/>
          </w:tcPr>
          <w:p w:rsidR="00C86C56" w:rsidRDefault="00FA1FF5" w:rsidP="00C86C56">
            <w:pPr>
              <w:rPr>
                <w:b/>
              </w:rPr>
            </w:pPr>
            <w:r>
              <w:rPr>
                <w:b/>
              </w:rPr>
              <w:t>£0.00</w:t>
            </w:r>
          </w:p>
        </w:tc>
        <w:tc>
          <w:tcPr>
            <w:tcW w:w="2790" w:type="dxa"/>
          </w:tcPr>
          <w:p w:rsidR="00C86C56" w:rsidRDefault="00FA1FF5" w:rsidP="00C86C56">
            <w:pPr>
              <w:rPr>
                <w:b/>
              </w:rPr>
            </w:pPr>
            <w:r>
              <w:rPr>
                <w:b/>
              </w:rPr>
              <w:t>£29.63</w:t>
            </w:r>
          </w:p>
        </w:tc>
        <w:tc>
          <w:tcPr>
            <w:tcW w:w="2790" w:type="dxa"/>
          </w:tcPr>
          <w:p w:rsidR="00C86C56" w:rsidRDefault="00FA1FF5" w:rsidP="00C86C56">
            <w:pPr>
              <w:rPr>
                <w:b/>
              </w:rPr>
            </w:pPr>
            <w:r>
              <w:rPr>
                <w:b/>
              </w:rPr>
              <w:t>£0.00</w:t>
            </w:r>
          </w:p>
        </w:tc>
        <w:tc>
          <w:tcPr>
            <w:tcW w:w="2790" w:type="dxa"/>
          </w:tcPr>
          <w:p w:rsidR="00C86C56" w:rsidRDefault="00FA1FF5" w:rsidP="00C86C56">
            <w:pPr>
              <w:rPr>
                <w:b/>
              </w:rPr>
            </w:pPr>
            <w:r>
              <w:rPr>
                <w:b/>
              </w:rPr>
              <w:t>£116.00</w:t>
            </w:r>
          </w:p>
        </w:tc>
      </w:tr>
    </w:tbl>
    <w:p w:rsidR="00C86C56" w:rsidRDefault="00C86C56" w:rsidP="00C86C56">
      <w:pPr>
        <w:rPr>
          <w:b/>
        </w:rPr>
      </w:pPr>
    </w:p>
    <w:p w:rsidR="00FA1FF5" w:rsidRDefault="00FA1FF5" w:rsidP="00C86C56">
      <w:pPr>
        <w:rPr>
          <w:b/>
        </w:rPr>
      </w:pPr>
      <w:r>
        <w:rPr>
          <w:b/>
        </w:rPr>
        <w:t>This summary illustrates that EL could increase current charges as well as introduce new charges such as day care and legitimately realise further much needed income while avoiding becoming the top charging authority.</w:t>
      </w:r>
    </w:p>
    <w:p w:rsidR="00FA1FF5" w:rsidRDefault="00FA1FF5" w:rsidP="00C86C56">
      <w:pPr>
        <w:rPr>
          <w:b/>
        </w:rPr>
      </w:pPr>
      <w:r>
        <w:rPr>
          <w:b/>
        </w:rPr>
        <w:t>The following chart shows how EL ranks against other authorities on the level of specific charging service areas.</w:t>
      </w:r>
    </w:p>
    <w:tbl>
      <w:tblPr>
        <w:tblStyle w:val="TableGrid"/>
        <w:tblW w:w="0" w:type="auto"/>
        <w:tblLook w:val="04A0" w:firstRow="1" w:lastRow="0" w:firstColumn="1" w:lastColumn="0" w:noHBand="0" w:noVBand="1"/>
      </w:tblPr>
      <w:tblGrid>
        <w:gridCol w:w="6974"/>
        <w:gridCol w:w="6974"/>
      </w:tblGrid>
      <w:tr w:rsidR="00FA1FF5" w:rsidTr="00FA1FF5">
        <w:tc>
          <w:tcPr>
            <w:tcW w:w="6974" w:type="dxa"/>
          </w:tcPr>
          <w:p w:rsidR="00FA1FF5" w:rsidRDefault="00FA1FF5" w:rsidP="00C86C56">
            <w:pPr>
              <w:rPr>
                <w:b/>
              </w:rPr>
            </w:pPr>
            <w:r>
              <w:rPr>
                <w:b/>
              </w:rPr>
              <w:t>Telecare / alarm</w:t>
            </w:r>
          </w:p>
        </w:tc>
        <w:tc>
          <w:tcPr>
            <w:tcW w:w="6974" w:type="dxa"/>
          </w:tcPr>
          <w:p w:rsidR="00FA1FF5" w:rsidRDefault="00FA1FF5" w:rsidP="00C86C56">
            <w:pPr>
              <w:rPr>
                <w:b/>
              </w:rPr>
            </w:pPr>
            <w:r>
              <w:rPr>
                <w:b/>
              </w:rPr>
              <w:t>EL is 17</w:t>
            </w:r>
            <w:r w:rsidRPr="00FA1FF5">
              <w:rPr>
                <w:b/>
                <w:vertAlign w:val="superscript"/>
              </w:rPr>
              <w:t>th</w:t>
            </w:r>
            <w:r>
              <w:rPr>
                <w:b/>
              </w:rPr>
              <w:t xml:space="preserve"> lowest out of 21 authorities</w:t>
            </w:r>
          </w:p>
        </w:tc>
      </w:tr>
      <w:tr w:rsidR="00FA1FF5" w:rsidTr="00FA1FF5">
        <w:tc>
          <w:tcPr>
            <w:tcW w:w="6974" w:type="dxa"/>
          </w:tcPr>
          <w:p w:rsidR="00FA1FF5" w:rsidRDefault="00FA1FF5" w:rsidP="00C86C56">
            <w:pPr>
              <w:rPr>
                <w:b/>
              </w:rPr>
            </w:pPr>
            <w:r>
              <w:rPr>
                <w:b/>
              </w:rPr>
              <w:t>Care homes</w:t>
            </w:r>
          </w:p>
        </w:tc>
        <w:tc>
          <w:tcPr>
            <w:tcW w:w="6974" w:type="dxa"/>
          </w:tcPr>
          <w:p w:rsidR="00FA1FF5" w:rsidRDefault="00FA1FF5" w:rsidP="00C86C56">
            <w:pPr>
              <w:rPr>
                <w:b/>
              </w:rPr>
            </w:pPr>
            <w:r>
              <w:rPr>
                <w:b/>
              </w:rPr>
              <w:t>EL is 13</w:t>
            </w:r>
            <w:r w:rsidRPr="00FA1FF5">
              <w:rPr>
                <w:b/>
                <w:vertAlign w:val="superscript"/>
              </w:rPr>
              <w:t>th</w:t>
            </w:r>
            <w:r>
              <w:rPr>
                <w:b/>
              </w:rPr>
              <w:t xml:space="preserve"> lowest out of 17 authorities</w:t>
            </w:r>
          </w:p>
        </w:tc>
      </w:tr>
      <w:tr w:rsidR="00FA1FF5" w:rsidTr="00FA1FF5">
        <w:tc>
          <w:tcPr>
            <w:tcW w:w="6974" w:type="dxa"/>
          </w:tcPr>
          <w:p w:rsidR="00FA1FF5" w:rsidRDefault="00FA1FF5" w:rsidP="00C86C56">
            <w:pPr>
              <w:rPr>
                <w:b/>
              </w:rPr>
            </w:pPr>
            <w:r>
              <w:rPr>
                <w:b/>
              </w:rPr>
              <w:t>Care at home</w:t>
            </w:r>
          </w:p>
        </w:tc>
        <w:tc>
          <w:tcPr>
            <w:tcW w:w="6974" w:type="dxa"/>
          </w:tcPr>
          <w:p w:rsidR="00FA1FF5" w:rsidRDefault="00FA1FF5" w:rsidP="00C86C56">
            <w:pPr>
              <w:rPr>
                <w:b/>
              </w:rPr>
            </w:pPr>
            <w:r>
              <w:rPr>
                <w:b/>
              </w:rPr>
              <w:t>EL is 16</w:t>
            </w:r>
            <w:r w:rsidRPr="00FA1FF5">
              <w:rPr>
                <w:b/>
                <w:vertAlign w:val="superscript"/>
              </w:rPr>
              <w:t>th</w:t>
            </w:r>
            <w:r>
              <w:rPr>
                <w:b/>
              </w:rPr>
              <w:t xml:space="preserve"> lowest out of 20 authorities</w:t>
            </w:r>
          </w:p>
        </w:tc>
      </w:tr>
      <w:tr w:rsidR="00FA1FF5" w:rsidTr="00FA1FF5">
        <w:tc>
          <w:tcPr>
            <w:tcW w:w="6974" w:type="dxa"/>
          </w:tcPr>
          <w:p w:rsidR="00FA1FF5" w:rsidRDefault="00FA1FF5" w:rsidP="00C86C56">
            <w:pPr>
              <w:rPr>
                <w:b/>
              </w:rPr>
            </w:pPr>
            <w:r>
              <w:rPr>
                <w:b/>
              </w:rPr>
              <w:lastRenderedPageBreak/>
              <w:t>Night time support</w:t>
            </w:r>
          </w:p>
        </w:tc>
        <w:tc>
          <w:tcPr>
            <w:tcW w:w="6974" w:type="dxa"/>
          </w:tcPr>
          <w:p w:rsidR="00FA1FF5" w:rsidRDefault="00FA1FF5" w:rsidP="00C86C56">
            <w:pPr>
              <w:rPr>
                <w:b/>
              </w:rPr>
            </w:pPr>
            <w:r>
              <w:rPr>
                <w:b/>
              </w:rPr>
              <w:t>EL is 12</w:t>
            </w:r>
            <w:r w:rsidRPr="00FA1FF5">
              <w:rPr>
                <w:b/>
                <w:vertAlign w:val="superscript"/>
              </w:rPr>
              <w:t>th</w:t>
            </w:r>
            <w:r>
              <w:rPr>
                <w:b/>
              </w:rPr>
              <w:t xml:space="preserve"> lowest out of 13 authorities</w:t>
            </w:r>
          </w:p>
        </w:tc>
      </w:tr>
      <w:tr w:rsidR="00FA1FF5" w:rsidTr="00FA1FF5">
        <w:tc>
          <w:tcPr>
            <w:tcW w:w="6974" w:type="dxa"/>
          </w:tcPr>
          <w:p w:rsidR="00FA1FF5" w:rsidRDefault="00FA1FF5" w:rsidP="00C86C56">
            <w:pPr>
              <w:rPr>
                <w:b/>
              </w:rPr>
            </w:pPr>
            <w:r>
              <w:rPr>
                <w:b/>
              </w:rPr>
              <w:t>Meals</w:t>
            </w:r>
          </w:p>
        </w:tc>
        <w:tc>
          <w:tcPr>
            <w:tcW w:w="6974" w:type="dxa"/>
          </w:tcPr>
          <w:p w:rsidR="00FA1FF5" w:rsidRDefault="00FA1FF5" w:rsidP="00C86C56">
            <w:pPr>
              <w:rPr>
                <w:b/>
              </w:rPr>
            </w:pPr>
            <w:r>
              <w:rPr>
                <w:b/>
              </w:rPr>
              <w:t>EL is 12</w:t>
            </w:r>
            <w:r w:rsidRPr="00FA1FF5">
              <w:rPr>
                <w:b/>
                <w:vertAlign w:val="superscript"/>
              </w:rPr>
              <w:t>th</w:t>
            </w:r>
            <w:r>
              <w:rPr>
                <w:b/>
              </w:rPr>
              <w:t xml:space="preserve"> lowest out of 21 authorities</w:t>
            </w:r>
          </w:p>
        </w:tc>
      </w:tr>
      <w:tr w:rsidR="00FA1FF5" w:rsidTr="00FA1FF5">
        <w:tc>
          <w:tcPr>
            <w:tcW w:w="6974" w:type="dxa"/>
          </w:tcPr>
          <w:p w:rsidR="00FA1FF5" w:rsidRDefault="00FA1FF5" w:rsidP="00C86C56">
            <w:pPr>
              <w:rPr>
                <w:b/>
              </w:rPr>
            </w:pPr>
            <w:r>
              <w:rPr>
                <w:b/>
              </w:rPr>
              <w:t>Day care</w:t>
            </w:r>
          </w:p>
        </w:tc>
        <w:tc>
          <w:tcPr>
            <w:tcW w:w="6974" w:type="dxa"/>
          </w:tcPr>
          <w:p w:rsidR="00FA1FF5" w:rsidRDefault="00FA1FF5" w:rsidP="00C86C56">
            <w:pPr>
              <w:rPr>
                <w:b/>
              </w:rPr>
            </w:pPr>
            <w:r>
              <w:rPr>
                <w:b/>
              </w:rPr>
              <w:t>EL is 22</w:t>
            </w:r>
            <w:r w:rsidRPr="00FA1FF5">
              <w:rPr>
                <w:b/>
                <w:vertAlign w:val="superscript"/>
              </w:rPr>
              <w:t>nd</w:t>
            </w:r>
            <w:r>
              <w:rPr>
                <w:b/>
              </w:rPr>
              <w:t xml:space="preserve"> out of 22 authorities</w:t>
            </w:r>
          </w:p>
        </w:tc>
      </w:tr>
      <w:tr w:rsidR="00FA1FF5" w:rsidTr="00FA1FF5">
        <w:tc>
          <w:tcPr>
            <w:tcW w:w="6974" w:type="dxa"/>
          </w:tcPr>
          <w:p w:rsidR="00FA1FF5" w:rsidRDefault="00FA1FF5" w:rsidP="00C86C56">
            <w:pPr>
              <w:rPr>
                <w:b/>
              </w:rPr>
            </w:pPr>
            <w:r>
              <w:rPr>
                <w:b/>
              </w:rPr>
              <w:t>Respite</w:t>
            </w:r>
          </w:p>
        </w:tc>
        <w:tc>
          <w:tcPr>
            <w:tcW w:w="6974" w:type="dxa"/>
          </w:tcPr>
          <w:p w:rsidR="00FA1FF5" w:rsidRDefault="00FA1FF5" w:rsidP="00C86C56">
            <w:pPr>
              <w:rPr>
                <w:b/>
              </w:rPr>
            </w:pPr>
            <w:r>
              <w:rPr>
                <w:b/>
              </w:rPr>
              <w:t xml:space="preserve">EL is </w:t>
            </w:r>
            <w:r w:rsidR="001133CA">
              <w:rPr>
                <w:b/>
              </w:rPr>
              <w:t>3</w:t>
            </w:r>
            <w:r w:rsidR="001133CA" w:rsidRPr="001133CA">
              <w:rPr>
                <w:b/>
                <w:vertAlign w:val="superscript"/>
              </w:rPr>
              <w:t>rd</w:t>
            </w:r>
            <w:r w:rsidR="001133CA">
              <w:rPr>
                <w:b/>
              </w:rPr>
              <w:t xml:space="preserve"> lowest out of 19</w:t>
            </w:r>
            <w:r w:rsidR="001133CA" w:rsidRPr="001133CA">
              <w:rPr>
                <w:b/>
                <w:vertAlign w:val="superscript"/>
              </w:rPr>
              <w:t>th</w:t>
            </w:r>
            <w:r w:rsidR="001133CA">
              <w:rPr>
                <w:b/>
              </w:rPr>
              <w:t xml:space="preserve"> authorities</w:t>
            </w:r>
          </w:p>
        </w:tc>
      </w:tr>
    </w:tbl>
    <w:p w:rsidR="00FA1FF5" w:rsidRDefault="00FA1FF5" w:rsidP="00C86C56">
      <w:pPr>
        <w:rPr>
          <w:b/>
        </w:rPr>
      </w:pPr>
    </w:p>
    <w:p w:rsidR="001133CA" w:rsidRPr="00C86C56" w:rsidRDefault="001133CA" w:rsidP="00C86C56">
      <w:pPr>
        <w:rPr>
          <w:b/>
        </w:rPr>
      </w:pPr>
      <w:r>
        <w:rPr>
          <w:b/>
        </w:rPr>
        <w:t>It is possible to begin from this ranking to determine which charges could best be targeted for the largest increases. For example with regard to charging for meals we are already average as an authority. And for respite we are one of the higher authorities. However for day care we are one of only 5 authorities that does not charge for day care.</w:t>
      </w:r>
    </w:p>
    <w:p w:rsidR="00520869" w:rsidRDefault="004E12A1">
      <w:r>
        <w:t>As you will have seen an email from El has been circulated around the 32 H&amp;SCPs via the Chief Officers. Responses are coming in all of the time and like the benchmarking below will continue to enable comparison and help us have confidence in our decision making.</w:t>
      </w:r>
    </w:p>
    <w:p w:rsidR="004E12A1" w:rsidRDefault="004E12A1">
      <w:r>
        <w:t>At the point of writing 4 authorities have responded. They are Falkirk, Aberdeenshire, East Ayrshire and Fife. Summary findings are as follows:</w:t>
      </w:r>
    </w:p>
    <w:p w:rsidR="004E12A1" w:rsidRPr="004E12A1" w:rsidRDefault="004E12A1" w:rsidP="004E12A1">
      <w:pPr>
        <w:pStyle w:val="ListParagraph"/>
        <w:numPr>
          <w:ilvl w:val="0"/>
          <w:numId w:val="2"/>
        </w:numPr>
      </w:pPr>
      <w:r>
        <w:rPr>
          <w:b/>
        </w:rPr>
        <w:t>All charge for day care.</w:t>
      </w:r>
    </w:p>
    <w:p w:rsidR="004E12A1" w:rsidRPr="004E12A1" w:rsidRDefault="004E12A1" w:rsidP="004E12A1">
      <w:pPr>
        <w:pStyle w:val="ListParagraph"/>
        <w:numPr>
          <w:ilvl w:val="0"/>
          <w:numId w:val="2"/>
        </w:numPr>
      </w:pPr>
      <w:r>
        <w:rPr>
          <w:b/>
        </w:rPr>
        <w:t>One authority charges for all non-residential care services.</w:t>
      </w:r>
    </w:p>
    <w:p w:rsidR="004E12A1" w:rsidRPr="004E12A1" w:rsidRDefault="004E12A1" w:rsidP="004E12A1">
      <w:pPr>
        <w:pStyle w:val="ListParagraph"/>
        <w:numPr>
          <w:ilvl w:val="0"/>
          <w:numId w:val="2"/>
        </w:numPr>
      </w:pPr>
      <w:r>
        <w:rPr>
          <w:b/>
        </w:rPr>
        <w:t>All those authorities levy a mix of flat rate charges and means tested charges.</w:t>
      </w:r>
    </w:p>
    <w:p w:rsidR="004E12A1" w:rsidRPr="004E12A1" w:rsidRDefault="004E12A1" w:rsidP="004E12A1">
      <w:pPr>
        <w:pStyle w:val="ListParagraph"/>
        <w:numPr>
          <w:ilvl w:val="0"/>
          <w:numId w:val="2"/>
        </w:numPr>
      </w:pPr>
      <w:r>
        <w:rPr>
          <w:b/>
        </w:rPr>
        <w:t>There is evidence of contributions beginning to be calculated on a person’s Personal Budget which we will explore further.</w:t>
      </w:r>
    </w:p>
    <w:p w:rsidR="004E12A1" w:rsidRPr="004E12A1" w:rsidRDefault="004E12A1" w:rsidP="004E12A1">
      <w:pPr>
        <w:pStyle w:val="ListParagraph"/>
        <w:numPr>
          <w:ilvl w:val="0"/>
          <w:numId w:val="2"/>
        </w:numPr>
      </w:pPr>
      <w:r>
        <w:rPr>
          <w:b/>
        </w:rPr>
        <w:t>All those authorities are considering their current charging arrangements including full cost recovery and 100% uplifting</w:t>
      </w:r>
    </w:p>
    <w:p w:rsidR="004E12A1" w:rsidRDefault="00C31826" w:rsidP="004E12A1">
      <w:r>
        <w:t>This again indicates that what we are undergoing is happening in every authority in the country and we will continue to gather further responses.</w:t>
      </w:r>
    </w:p>
    <w:p w:rsidR="00C31826" w:rsidRDefault="00C31826" w:rsidP="004E12A1">
      <w:r>
        <w:t>Other examples that come through the report and other sources:</w:t>
      </w:r>
    </w:p>
    <w:p w:rsidR="00C31826" w:rsidRDefault="00C31826" w:rsidP="00C31826">
      <w:pPr>
        <w:pStyle w:val="ListParagraph"/>
        <w:numPr>
          <w:ilvl w:val="0"/>
          <w:numId w:val="3"/>
        </w:numPr>
      </w:pPr>
      <w:r>
        <w:t>Day care charges in Edinburgh, Scottish Borders, Midlothian, Angus and Fife range from £7.50 to £16.00.</w:t>
      </w:r>
    </w:p>
    <w:p w:rsidR="00C31826" w:rsidRDefault="00C31826" w:rsidP="00C31826">
      <w:pPr>
        <w:pStyle w:val="ListParagraph"/>
        <w:numPr>
          <w:ilvl w:val="0"/>
          <w:numId w:val="3"/>
        </w:numPr>
      </w:pPr>
      <w:r>
        <w:t>One authority doesn’t apply any Taper.</w:t>
      </w:r>
    </w:p>
    <w:p w:rsidR="00C31826" w:rsidRDefault="00C31826" w:rsidP="00C31826">
      <w:pPr>
        <w:pStyle w:val="ListParagraph"/>
        <w:numPr>
          <w:ilvl w:val="0"/>
          <w:numId w:val="3"/>
        </w:numPr>
      </w:pPr>
      <w:r>
        <w:t>One authority has set its Taper at 100%, 2 at 60%.</w:t>
      </w:r>
    </w:p>
    <w:p w:rsidR="00C31826" w:rsidRDefault="00C31826" w:rsidP="00C31826">
      <w:pPr>
        <w:pStyle w:val="ListParagraph"/>
        <w:numPr>
          <w:ilvl w:val="0"/>
          <w:numId w:val="3"/>
        </w:numPr>
      </w:pPr>
      <w:r>
        <w:t>Authorities are considering charging for previously free services.</w:t>
      </w:r>
    </w:p>
    <w:p w:rsidR="00C31826" w:rsidRDefault="00C31826" w:rsidP="00C31826">
      <w:r>
        <w:t>The following table is simply an illustration of the levels of funding that could be generated across existing chargeable services as well as possible chargeable services based on uplifting at various % rates. It is important that this is done as it will be ultimately what is considered by Council. This needs further work as well as financial modelling on the alternative charging models.</w:t>
      </w:r>
    </w:p>
    <w:p w:rsidR="00BA59E3" w:rsidRPr="00BA59E3" w:rsidRDefault="00BA59E3" w:rsidP="00C31826">
      <w:pPr>
        <w:rPr>
          <w:b/>
          <w:color w:val="FF0000"/>
        </w:rPr>
      </w:pPr>
      <w:r w:rsidRPr="00BA59E3">
        <w:rPr>
          <w:b/>
          <w:color w:val="FF0000"/>
        </w:rPr>
        <w:t xml:space="preserve">The above illustration is currently being revised and the figure we are looking at is £358,000 for new charges and increases in existing charges. </w:t>
      </w:r>
    </w:p>
    <w:p w:rsidR="00B84C7A" w:rsidRDefault="00B84C7A" w:rsidP="00C31826"/>
    <w:tbl>
      <w:tblPr>
        <w:tblStyle w:val="TableGrid"/>
        <w:tblW w:w="0" w:type="auto"/>
        <w:tblLook w:val="04A0" w:firstRow="1" w:lastRow="0" w:firstColumn="1" w:lastColumn="0" w:noHBand="0" w:noVBand="1"/>
      </w:tblPr>
      <w:tblGrid>
        <w:gridCol w:w="3743"/>
        <w:gridCol w:w="926"/>
        <w:gridCol w:w="1126"/>
        <w:gridCol w:w="1003"/>
        <w:gridCol w:w="875"/>
        <w:gridCol w:w="976"/>
        <w:gridCol w:w="976"/>
        <w:gridCol w:w="976"/>
        <w:gridCol w:w="976"/>
        <w:gridCol w:w="976"/>
        <w:gridCol w:w="266"/>
        <w:gridCol w:w="1129"/>
      </w:tblGrid>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r w:rsidRPr="00C31D96">
              <w:t> </w:t>
            </w:r>
          </w:p>
        </w:tc>
        <w:tc>
          <w:tcPr>
            <w:tcW w:w="1127" w:type="dxa"/>
            <w:noWrap/>
            <w:hideMark/>
          </w:tcPr>
          <w:p w:rsidR="00C87BF2" w:rsidRPr="00C31D96" w:rsidRDefault="00C87BF2" w:rsidP="00A33C3E">
            <w:r w:rsidRPr="00C31D96">
              <w:t> </w:t>
            </w:r>
          </w:p>
        </w:tc>
        <w:tc>
          <w:tcPr>
            <w:tcW w:w="1003" w:type="dxa"/>
            <w:noWrap/>
            <w:hideMark/>
          </w:tcPr>
          <w:p w:rsidR="00C87BF2" w:rsidRPr="00C31D96" w:rsidRDefault="00C87BF2" w:rsidP="00A33C3E">
            <w:r w:rsidRPr="00C31D96">
              <w:t> </w:t>
            </w:r>
          </w:p>
        </w:tc>
        <w:tc>
          <w:tcPr>
            <w:tcW w:w="5755" w:type="dxa"/>
            <w:gridSpan w:val="6"/>
            <w:noWrap/>
            <w:hideMark/>
          </w:tcPr>
          <w:p w:rsidR="00C87BF2" w:rsidRPr="00C31D96" w:rsidRDefault="00C87BF2" w:rsidP="00A33C3E">
            <w:r w:rsidRPr="00C31D96">
              <w:t>Increase charges by</w:t>
            </w:r>
          </w:p>
        </w:tc>
        <w:tc>
          <w:tcPr>
            <w:tcW w:w="261" w:type="dxa"/>
            <w:noWrap/>
            <w:hideMark/>
          </w:tcPr>
          <w:p w:rsidR="00C87BF2" w:rsidRPr="00C31D96" w:rsidRDefault="00C87BF2" w:rsidP="00A33C3E">
            <w:r w:rsidRPr="00C31D96">
              <w:t> </w:t>
            </w:r>
          </w:p>
        </w:tc>
        <w:tc>
          <w:tcPr>
            <w:tcW w:w="1129" w:type="dxa"/>
            <w:noWrap/>
            <w:hideMark/>
          </w:tcPr>
          <w:p w:rsidR="00C87BF2" w:rsidRPr="00C31D96" w:rsidRDefault="00C87BF2" w:rsidP="00A33C3E">
            <w:pPr>
              <w:rPr>
                <w:b/>
                <w:bCs/>
              </w:rPr>
            </w:pPr>
            <w:r w:rsidRPr="00C31D96">
              <w:rPr>
                <w:b/>
                <w:bCs/>
              </w:rPr>
              <w:t>Total</w:t>
            </w:r>
          </w:p>
        </w:tc>
      </w:tr>
      <w:tr w:rsidR="00C87BF2" w:rsidRPr="00C31D96" w:rsidTr="00A33C3E">
        <w:trPr>
          <w:trHeight w:val="300"/>
        </w:trPr>
        <w:tc>
          <w:tcPr>
            <w:tcW w:w="3746" w:type="dxa"/>
            <w:noWrap/>
            <w:hideMark/>
          </w:tcPr>
          <w:p w:rsidR="00C87BF2" w:rsidRPr="00C31D96" w:rsidRDefault="00C87BF2" w:rsidP="00A33C3E">
            <w:pPr>
              <w:rPr>
                <w:b/>
                <w:bCs/>
                <w:u w:val="single"/>
              </w:rPr>
            </w:pPr>
            <w:r w:rsidRPr="00C31D96">
              <w:rPr>
                <w:b/>
                <w:bCs/>
                <w:u w:val="single"/>
              </w:rPr>
              <w:t>Current services</w:t>
            </w:r>
          </w:p>
        </w:tc>
        <w:tc>
          <w:tcPr>
            <w:tcW w:w="927" w:type="dxa"/>
            <w:noWrap/>
            <w:hideMark/>
          </w:tcPr>
          <w:p w:rsidR="00C87BF2" w:rsidRPr="00FF3E84" w:rsidRDefault="00C87BF2" w:rsidP="00A33C3E">
            <w:pPr>
              <w:rPr>
                <w:b/>
                <w:bCs/>
                <w:sz w:val="18"/>
                <w:szCs w:val="18"/>
                <w:u w:val="single"/>
              </w:rPr>
            </w:pPr>
            <w:r w:rsidRPr="00FF3E84">
              <w:rPr>
                <w:b/>
                <w:bCs/>
                <w:sz w:val="18"/>
                <w:szCs w:val="18"/>
                <w:u w:val="single"/>
              </w:rPr>
              <w:t>Numbers</w:t>
            </w:r>
          </w:p>
        </w:tc>
        <w:tc>
          <w:tcPr>
            <w:tcW w:w="1127" w:type="dxa"/>
            <w:noWrap/>
            <w:hideMark/>
          </w:tcPr>
          <w:p w:rsidR="00C87BF2" w:rsidRPr="00C31D96" w:rsidRDefault="00C87BF2" w:rsidP="00A33C3E">
            <w:pPr>
              <w:rPr>
                <w:b/>
                <w:bCs/>
                <w:u w:val="single"/>
              </w:rPr>
            </w:pPr>
            <w:r w:rsidRPr="00C31D96">
              <w:rPr>
                <w:b/>
                <w:bCs/>
                <w:u w:val="single"/>
              </w:rPr>
              <w:t>Current</w:t>
            </w:r>
          </w:p>
        </w:tc>
        <w:tc>
          <w:tcPr>
            <w:tcW w:w="1003" w:type="dxa"/>
            <w:noWrap/>
            <w:hideMark/>
          </w:tcPr>
          <w:p w:rsidR="00C87BF2" w:rsidRPr="00FF3E84" w:rsidRDefault="00C87BF2" w:rsidP="00A33C3E">
            <w:pPr>
              <w:rPr>
                <w:b/>
                <w:bCs/>
                <w:sz w:val="18"/>
                <w:szCs w:val="18"/>
                <w:u w:val="single"/>
              </w:rPr>
            </w:pPr>
            <w:r w:rsidRPr="00FF3E84">
              <w:rPr>
                <w:b/>
                <w:bCs/>
                <w:sz w:val="18"/>
                <w:szCs w:val="18"/>
                <w:u w:val="single"/>
              </w:rPr>
              <w:t>Proposed</w:t>
            </w:r>
          </w:p>
        </w:tc>
        <w:tc>
          <w:tcPr>
            <w:tcW w:w="875" w:type="dxa"/>
            <w:noWrap/>
            <w:hideMark/>
          </w:tcPr>
          <w:p w:rsidR="00C87BF2" w:rsidRPr="00C31D96" w:rsidRDefault="00C87BF2" w:rsidP="00A33C3E">
            <w:pPr>
              <w:rPr>
                <w:b/>
                <w:bCs/>
                <w:u w:val="single"/>
              </w:rPr>
            </w:pPr>
            <w:r w:rsidRPr="00C31D96">
              <w:rPr>
                <w:b/>
                <w:bCs/>
                <w:u w:val="single"/>
              </w:rPr>
              <w:t>5%</w:t>
            </w:r>
          </w:p>
        </w:tc>
        <w:tc>
          <w:tcPr>
            <w:tcW w:w="976" w:type="dxa"/>
            <w:noWrap/>
            <w:hideMark/>
          </w:tcPr>
          <w:p w:rsidR="00C87BF2" w:rsidRPr="00C31D96" w:rsidRDefault="00C87BF2" w:rsidP="00A33C3E">
            <w:pPr>
              <w:rPr>
                <w:b/>
                <w:bCs/>
                <w:u w:val="single"/>
              </w:rPr>
            </w:pPr>
            <w:r w:rsidRPr="00C31D96">
              <w:rPr>
                <w:b/>
                <w:bCs/>
                <w:u w:val="single"/>
              </w:rPr>
              <w:t>10%</w:t>
            </w:r>
          </w:p>
        </w:tc>
        <w:tc>
          <w:tcPr>
            <w:tcW w:w="976" w:type="dxa"/>
            <w:noWrap/>
            <w:hideMark/>
          </w:tcPr>
          <w:p w:rsidR="00C87BF2" w:rsidRPr="00C31D96" w:rsidRDefault="00C87BF2" w:rsidP="00A33C3E">
            <w:pPr>
              <w:rPr>
                <w:b/>
                <w:bCs/>
                <w:u w:val="single"/>
              </w:rPr>
            </w:pPr>
            <w:r w:rsidRPr="00C31D96">
              <w:rPr>
                <w:b/>
                <w:bCs/>
                <w:u w:val="single"/>
              </w:rPr>
              <w:t>15%</w:t>
            </w:r>
          </w:p>
        </w:tc>
        <w:tc>
          <w:tcPr>
            <w:tcW w:w="976" w:type="dxa"/>
            <w:noWrap/>
            <w:hideMark/>
          </w:tcPr>
          <w:p w:rsidR="00C87BF2" w:rsidRPr="00C31D96" w:rsidRDefault="00C87BF2" w:rsidP="00A33C3E">
            <w:pPr>
              <w:rPr>
                <w:b/>
                <w:bCs/>
                <w:u w:val="single"/>
              </w:rPr>
            </w:pPr>
            <w:r w:rsidRPr="00C31D96">
              <w:rPr>
                <w:b/>
                <w:bCs/>
                <w:u w:val="single"/>
              </w:rPr>
              <w:t>20%</w:t>
            </w:r>
          </w:p>
        </w:tc>
        <w:tc>
          <w:tcPr>
            <w:tcW w:w="976" w:type="dxa"/>
            <w:noWrap/>
            <w:hideMark/>
          </w:tcPr>
          <w:p w:rsidR="00C87BF2" w:rsidRPr="00C31D96" w:rsidRDefault="00C87BF2" w:rsidP="00A33C3E">
            <w:pPr>
              <w:rPr>
                <w:b/>
                <w:bCs/>
                <w:u w:val="single"/>
              </w:rPr>
            </w:pPr>
            <w:r w:rsidRPr="00C31D96">
              <w:rPr>
                <w:b/>
                <w:bCs/>
                <w:u w:val="single"/>
              </w:rPr>
              <w:t>25%</w:t>
            </w:r>
          </w:p>
        </w:tc>
        <w:tc>
          <w:tcPr>
            <w:tcW w:w="976" w:type="dxa"/>
            <w:noWrap/>
            <w:hideMark/>
          </w:tcPr>
          <w:p w:rsidR="00C87BF2" w:rsidRPr="00C31D96" w:rsidRDefault="00C87BF2" w:rsidP="00A33C3E">
            <w:pPr>
              <w:rPr>
                <w:b/>
                <w:bCs/>
                <w:u w:val="single"/>
              </w:rPr>
            </w:pPr>
            <w:r w:rsidRPr="00C31D96">
              <w:rPr>
                <w:b/>
                <w:bCs/>
                <w:u w:val="single"/>
              </w:rPr>
              <w:t>30%</w:t>
            </w:r>
          </w:p>
        </w:tc>
        <w:tc>
          <w:tcPr>
            <w:tcW w:w="261" w:type="dxa"/>
            <w:noWrap/>
            <w:hideMark/>
          </w:tcPr>
          <w:p w:rsidR="00C87BF2" w:rsidRPr="00C31D96" w:rsidRDefault="00C87BF2" w:rsidP="00A33C3E">
            <w:pPr>
              <w:rPr>
                <w:b/>
                <w:bCs/>
                <w:u w:val="single"/>
              </w:rPr>
            </w:pPr>
          </w:p>
        </w:tc>
        <w:tc>
          <w:tcPr>
            <w:tcW w:w="1129" w:type="dxa"/>
            <w:noWrap/>
            <w:hideMark/>
          </w:tcPr>
          <w:p w:rsidR="00C87BF2" w:rsidRPr="00C31D96" w:rsidRDefault="00C87BF2" w:rsidP="00A33C3E">
            <w:pPr>
              <w:rPr>
                <w:b/>
                <w:bCs/>
              </w:rPr>
            </w:pPr>
            <w:r w:rsidRPr="00C31D96">
              <w:rPr>
                <w:b/>
                <w:bCs/>
              </w:rPr>
              <w:t>on 30%</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5755" w:type="dxa"/>
            <w:gridSpan w:val="6"/>
            <w:noWrap/>
            <w:hideMark/>
          </w:tcPr>
          <w:p w:rsidR="00C87BF2" w:rsidRPr="00C31D96" w:rsidRDefault="00C87BF2" w:rsidP="00A33C3E">
            <w:r w:rsidRPr="00C31D96">
              <w:t>Additional income</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Care Homes full funders</w:t>
            </w:r>
          </w:p>
        </w:tc>
        <w:tc>
          <w:tcPr>
            <w:tcW w:w="927" w:type="dxa"/>
            <w:noWrap/>
            <w:hideMark/>
          </w:tcPr>
          <w:p w:rsidR="00C87BF2" w:rsidRPr="00C31D96" w:rsidRDefault="00C87BF2" w:rsidP="00A33C3E">
            <w:r w:rsidRPr="00C31D96">
              <w:t>22</w:t>
            </w:r>
          </w:p>
        </w:tc>
        <w:tc>
          <w:tcPr>
            <w:tcW w:w="1127" w:type="dxa"/>
            <w:noWrap/>
            <w:hideMark/>
          </w:tcPr>
          <w:p w:rsidR="00C87BF2" w:rsidRPr="00C31D96" w:rsidRDefault="00C87BF2" w:rsidP="00A33C3E">
            <w:r w:rsidRPr="00C31D96">
              <w:t>£659,859</w:t>
            </w:r>
          </w:p>
        </w:tc>
        <w:tc>
          <w:tcPr>
            <w:tcW w:w="1003" w:type="dxa"/>
            <w:noWrap/>
            <w:hideMark/>
          </w:tcPr>
          <w:p w:rsidR="00C87BF2" w:rsidRPr="00C31D96" w:rsidRDefault="00C87BF2" w:rsidP="00A33C3E"/>
        </w:tc>
        <w:tc>
          <w:tcPr>
            <w:tcW w:w="875" w:type="dxa"/>
            <w:noWrap/>
            <w:hideMark/>
          </w:tcPr>
          <w:p w:rsidR="00C87BF2" w:rsidRPr="00C31D96" w:rsidRDefault="00C87BF2" w:rsidP="00A33C3E">
            <w:pPr>
              <w:rPr>
                <w:sz w:val="20"/>
                <w:szCs w:val="20"/>
              </w:rPr>
            </w:pPr>
            <w:r w:rsidRPr="00C31D96">
              <w:rPr>
                <w:sz w:val="20"/>
                <w:szCs w:val="20"/>
              </w:rPr>
              <w:t>£32,993</w:t>
            </w:r>
          </w:p>
        </w:tc>
        <w:tc>
          <w:tcPr>
            <w:tcW w:w="976" w:type="dxa"/>
            <w:noWrap/>
            <w:hideMark/>
          </w:tcPr>
          <w:p w:rsidR="00C87BF2" w:rsidRPr="00C31D96" w:rsidRDefault="00C87BF2" w:rsidP="00A33C3E">
            <w:r w:rsidRPr="00C31D96">
              <w:t>£65,986</w:t>
            </w:r>
          </w:p>
        </w:tc>
        <w:tc>
          <w:tcPr>
            <w:tcW w:w="976" w:type="dxa"/>
            <w:noWrap/>
            <w:hideMark/>
          </w:tcPr>
          <w:p w:rsidR="00C87BF2" w:rsidRPr="00C31D96" w:rsidRDefault="00C87BF2" w:rsidP="00A33C3E">
            <w:r w:rsidRPr="00C31D96">
              <w:t>£98,979</w:t>
            </w:r>
          </w:p>
        </w:tc>
        <w:tc>
          <w:tcPr>
            <w:tcW w:w="976" w:type="dxa"/>
            <w:noWrap/>
            <w:hideMark/>
          </w:tcPr>
          <w:p w:rsidR="00C87BF2" w:rsidRPr="00C31D96" w:rsidRDefault="00C87BF2" w:rsidP="00A33C3E">
            <w:pPr>
              <w:rPr>
                <w:sz w:val="20"/>
                <w:szCs w:val="20"/>
              </w:rPr>
            </w:pPr>
            <w:r w:rsidRPr="00C31D96">
              <w:rPr>
                <w:sz w:val="20"/>
                <w:szCs w:val="20"/>
              </w:rPr>
              <w:t>£131,972</w:t>
            </w:r>
          </w:p>
        </w:tc>
        <w:tc>
          <w:tcPr>
            <w:tcW w:w="976" w:type="dxa"/>
            <w:noWrap/>
            <w:hideMark/>
          </w:tcPr>
          <w:p w:rsidR="00C87BF2" w:rsidRPr="00C31D96" w:rsidRDefault="00C87BF2" w:rsidP="00A33C3E">
            <w:pPr>
              <w:rPr>
                <w:sz w:val="20"/>
                <w:szCs w:val="20"/>
              </w:rPr>
            </w:pPr>
            <w:r w:rsidRPr="00C31D96">
              <w:rPr>
                <w:sz w:val="20"/>
                <w:szCs w:val="20"/>
              </w:rPr>
              <w:t>£164,965</w:t>
            </w:r>
          </w:p>
        </w:tc>
        <w:tc>
          <w:tcPr>
            <w:tcW w:w="976" w:type="dxa"/>
            <w:noWrap/>
            <w:hideMark/>
          </w:tcPr>
          <w:p w:rsidR="00C87BF2" w:rsidRPr="00C31D96" w:rsidRDefault="00C87BF2" w:rsidP="00A33C3E">
            <w:pPr>
              <w:rPr>
                <w:sz w:val="20"/>
                <w:szCs w:val="20"/>
              </w:rPr>
            </w:pPr>
            <w:r w:rsidRPr="00C31D96">
              <w:rPr>
                <w:sz w:val="20"/>
                <w:szCs w:val="20"/>
              </w:rPr>
              <w:t>£197,958</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£197,958</w:t>
            </w:r>
          </w:p>
        </w:tc>
      </w:tr>
      <w:tr w:rsidR="00C87BF2" w:rsidRPr="00C31D96" w:rsidTr="00A33C3E">
        <w:trPr>
          <w:trHeight w:val="300"/>
        </w:trPr>
        <w:tc>
          <w:tcPr>
            <w:tcW w:w="3746" w:type="dxa"/>
            <w:noWrap/>
            <w:hideMark/>
          </w:tcPr>
          <w:p w:rsidR="00C87BF2" w:rsidRPr="00C31D96" w:rsidRDefault="00C87BF2" w:rsidP="00A33C3E">
            <w:r w:rsidRPr="00C31D96">
              <w:t>Care Homes part funders (£200)</w:t>
            </w:r>
          </w:p>
        </w:tc>
        <w:tc>
          <w:tcPr>
            <w:tcW w:w="927" w:type="dxa"/>
            <w:noWrap/>
            <w:hideMark/>
          </w:tcPr>
          <w:p w:rsidR="00C87BF2" w:rsidRPr="00C31D96" w:rsidRDefault="00C87BF2" w:rsidP="00A33C3E">
            <w:r w:rsidRPr="00C31D96">
              <w:t>64</w:t>
            </w:r>
          </w:p>
        </w:tc>
        <w:tc>
          <w:tcPr>
            <w:tcW w:w="1127" w:type="dxa"/>
            <w:noWrap/>
            <w:hideMark/>
          </w:tcPr>
          <w:p w:rsidR="00C87BF2" w:rsidRPr="00C31D96" w:rsidRDefault="00C87BF2" w:rsidP="00A33C3E">
            <w:r w:rsidRPr="00C31D96">
              <w:t>£665,600</w:t>
            </w:r>
          </w:p>
        </w:tc>
        <w:tc>
          <w:tcPr>
            <w:tcW w:w="1003" w:type="dxa"/>
            <w:noWrap/>
            <w:hideMark/>
          </w:tcPr>
          <w:p w:rsidR="00C87BF2" w:rsidRPr="00C31D96" w:rsidRDefault="00C87BF2" w:rsidP="00A33C3E"/>
        </w:tc>
        <w:tc>
          <w:tcPr>
            <w:tcW w:w="875" w:type="dxa"/>
            <w:noWrap/>
            <w:hideMark/>
          </w:tcPr>
          <w:p w:rsidR="00C87BF2" w:rsidRPr="00C31D96" w:rsidRDefault="00C87BF2" w:rsidP="00A33C3E">
            <w:pPr>
              <w:rPr>
                <w:sz w:val="20"/>
                <w:szCs w:val="20"/>
              </w:rPr>
            </w:pPr>
            <w:r w:rsidRPr="00C31D96">
              <w:rPr>
                <w:sz w:val="20"/>
                <w:szCs w:val="20"/>
              </w:rPr>
              <w:t>£33,280</w:t>
            </w:r>
          </w:p>
        </w:tc>
        <w:tc>
          <w:tcPr>
            <w:tcW w:w="976" w:type="dxa"/>
            <w:noWrap/>
            <w:hideMark/>
          </w:tcPr>
          <w:p w:rsidR="00C87BF2" w:rsidRPr="00C31D96" w:rsidRDefault="00C87BF2" w:rsidP="00A33C3E">
            <w:r w:rsidRPr="00C31D96">
              <w:t>£66,560</w:t>
            </w:r>
          </w:p>
        </w:tc>
        <w:tc>
          <w:tcPr>
            <w:tcW w:w="976" w:type="dxa"/>
            <w:noWrap/>
            <w:hideMark/>
          </w:tcPr>
          <w:p w:rsidR="00C87BF2" w:rsidRPr="00C31D96" w:rsidRDefault="00C87BF2" w:rsidP="00A33C3E">
            <w:r w:rsidRPr="00C31D96">
              <w:t>£99,840</w:t>
            </w:r>
          </w:p>
        </w:tc>
        <w:tc>
          <w:tcPr>
            <w:tcW w:w="976" w:type="dxa"/>
            <w:noWrap/>
            <w:hideMark/>
          </w:tcPr>
          <w:p w:rsidR="00C87BF2" w:rsidRPr="00C31D96" w:rsidRDefault="00C87BF2" w:rsidP="00A33C3E">
            <w:pPr>
              <w:rPr>
                <w:sz w:val="20"/>
                <w:szCs w:val="20"/>
              </w:rPr>
            </w:pPr>
            <w:r w:rsidRPr="00C31D96">
              <w:rPr>
                <w:sz w:val="20"/>
                <w:szCs w:val="20"/>
              </w:rPr>
              <w:t>£133,120</w:t>
            </w:r>
          </w:p>
        </w:tc>
        <w:tc>
          <w:tcPr>
            <w:tcW w:w="976" w:type="dxa"/>
            <w:noWrap/>
            <w:hideMark/>
          </w:tcPr>
          <w:p w:rsidR="00C87BF2" w:rsidRPr="00C31D96" w:rsidRDefault="00C87BF2" w:rsidP="00A33C3E">
            <w:pPr>
              <w:rPr>
                <w:sz w:val="20"/>
                <w:szCs w:val="20"/>
              </w:rPr>
            </w:pPr>
            <w:r w:rsidRPr="00C31D96">
              <w:rPr>
                <w:sz w:val="20"/>
                <w:szCs w:val="20"/>
              </w:rPr>
              <w:t>£166,400</w:t>
            </w:r>
          </w:p>
        </w:tc>
        <w:tc>
          <w:tcPr>
            <w:tcW w:w="976" w:type="dxa"/>
            <w:noWrap/>
            <w:hideMark/>
          </w:tcPr>
          <w:p w:rsidR="00C87BF2" w:rsidRPr="00C31D96" w:rsidRDefault="00C87BF2" w:rsidP="00A33C3E">
            <w:pPr>
              <w:rPr>
                <w:sz w:val="20"/>
                <w:szCs w:val="20"/>
              </w:rPr>
            </w:pPr>
            <w:r w:rsidRPr="00C31D96">
              <w:rPr>
                <w:sz w:val="20"/>
                <w:szCs w:val="20"/>
              </w:rPr>
              <w:t>£199,680</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£199,680</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 xml:space="preserve">Respite </w:t>
            </w:r>
          </w:p>
        </w:tc>
        <w:tc>
          <w:tcPr>
            <w:tcW w:w="927" w:type="dxa"/>
            <w:noWrap/>
            <w:hideMark/>
          </w:tcPr>
          <w:p w:rsidR="00C87BF2" w:rsidRPr="00C31D96" w:rsidRDefault="00C87BF2" w:rsidP="00A33C3E">
            <w:r w:rsidRPr="00C31D96">
              <w:t>1,317</w:t>
            </w:r>
          </w:p>
        </w:tc>
        <w:tc>
          <w:tcPr>
            <w:tcW w:w="1127" w:type="dxa"/>
            <w:noWrap/>
            <w:hideMark/>
          </w:tcPr>
          <w:p w:rsidR="00C87BF2" w:rsidRPr="00C31D96" w:rsidRDefault="00C87BF2" w:rsidP="00A33C3E">
            <w:r w:rsidRPr="00C31D96">
              <w:t>£114,000</w:t>
            </w:r>
          </w:p>
        </w:tc>
        <w:tc>
          <w:tcPr>
            <w:tcW w:w="1003" w:type="dxa"/>
            <w:noWrap/>
            <w:hideMark/>
          </w:tcPr>
          <w:p w:rsidR="00C87BF2" w:rsidRPr="00C31D96" w:rsidRDefault="00C87BF2" w:rsidP="00A33C3E"/>
        </w:tc>
        <w:tc>
          <w:tcPr>
            <w:tcW w:w="875" w:type="dxa"/>
            <w:noWrap/>
            <w:hideMark/>
          </w:tcPr>
          <w:p w:rsidR="00C87BF2" w:rsidRPr="00C31D96" w:rsidRDefault="00C87BF2" w:rsidP="00A33C3E">
            <w:r w:rsidRPr="00C31D96">
              <w:t>£5,700</w:t>
            </w:r>
          </w:p>
        </w:tc>
        <w:tc>
          <w:tcPr>
            <w:tcW w:w="976" w:type="dxa"/>
            <w:noWrap/>
            <w:hideMark/>
          </w:tcPr>
          <w:p w:rsidR="00C87BF2" w:rsidRPr="00C31D96" w:rsidRDefault="00C87BF2" w:rsidP="00A33C3E">
            <w:r w:rsidRPr="00C31D96">
              <w:t>£11,400</w:t>
            </w:r>
          </w:p>
        </w:tc>
        <w:tc>
          <w:tcPr>
            <w:tcW w:w="976" w:type="dxa"/>
            <w:noWrap/>
            <w:hideMark/>
          </w:tcPr>
          <w:p w:rsidR="00C87BF2" w:rsidRPr="00C31D96" w:rsidRDefault="00C87BF2" w:rsidP="00A33C3E">
            <w:r w:rsidRPr="00C31D96">
              <w:t>£17,100</w:t>
            </w:r>
          </w:p>
        </w:tc>
        <w:tc>
          <w:tcPr>
            <w:tcW w:w="976" w:type="dxa"/>
            <w:noWrap/>
            <w:hideMark/>
          </w:tcPr>
          <w:p w:rsidR="00C87BF2" w:rsidRPr="00C31D96" w:rsidRDefault="00C87BF2" w:rsidP="00A33C3E">
            <w:r w:rsidRPr="00C31D96">
              <w:t>£22,800</w:t>
            </w:r>
          </w:p>
        </w:tc>
        <w:tc>
          <w:tcPr>
            <w:tcW w:w="976" w:type="dxa"/>
            <w:noWrap/>
            <w:hideMark/>
          </w:tcPr>
          <w:p w:rsidR="00C87BF2" w:rsidRPr="00C31D96" w:rsidRDefault="00C87BF2" w:rsidP="00A33C3E">
            <w:r w:rsidRPr="00C31D96">
              <w:t>£28,500</w:t>
            </w:r>
          </w:p>
        </w:tc>
        <w:tc>
          <w:tcPr>
            <w:tcW w:w="976" w:type="dxa"/>
            <w:noWrap/>
            <w:hideMark/>
          </w:tcPr>
          <w:p w:rsidR="00C87BF2" w:rsidRPr="00C31D96" w:rsidRDefault="00C87BF2" w:rsidP="00A33C3E">
            <w:r w:rsidRPr="00C31D96">
              <w:t>£34,200</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£34,200</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Frozen meals-lunch clubs  £3 per meal</w:t>
            </w:r>
          </w:p>
        </w:tc>
        <w:tc>
          <w:tcPr>
            <w:tcW w:w="927" w:type="dxa"/>
            <w:noWrap/>
            <w:hideMark/>
          </w:tcPr>
          <w:p w:rsidR="00C87BF2" w:rsidRPr="00C31D96" w:rsidRDefault="00C87BF2" w:rsidP="00A33C3E">
            <w:r w:rsidRPr="00C31D96">
              <w:t>24,500</w:t>
            </w:r>
          </w:p>
        </w:tc>
        <w:tc>
          <w:tcPr>
            <w:tcW w:w="1127" w:type="dxa"/>
            <w:noWrap/>
            <w:hideMark/>
          </w:tcPr>
          <w:p w:rsidR="00C87BF2" w:rsidRPr="00C31D96" w:rsidRDefault="00C87BF2" w:rsidP="00A33C3E">
            <w:r w:rsidRPr="00C31D96">
              <w:t>£73,500</w:t>
            </w:r>
          </w:p>
        </w:tc>
        <w:tc>
          <w:tcPr>
            <w:tcW w:w="1003" w:type="dxa"/>
            <w:noWrap/>
            <w:hideMark/>
          </w:tcPr>
          <w:p w:rsidR="00C87BF2" w:rsidRPr="00C31D96" w:rsidRDefault="00C87BF2" w:rsidP="00A33C3E"/>
        </w:tc>
        <w:tc>
          <w:tcPr>
            <w:tcW w:w="875" w:type="dxa"/>
            <w:noWrap/>
            <w:hideMark/>
          </w:tcPr>
          <w:p w:rsidR="00C87BF2" w:rsidRPr="00C31D96" w:rsidRDefault="00C87BF2" w:rsidP="00A33C3E">
            <w:r w:rsidRPr="00C31D96">
              <w:t>£3,675</w:t>
            </w:r>
          </w:p>
        </w:tc>
        <w:tc>
          <w:tcPr>
            <w:tcW w:w="976" w:type="dxa"/>
            <w:noWrap/>
            <w:hideMark/>
          </w:tcPr>
          <w:p w:rsidR="00C87BF2" w:rsidRPr="00C31D96" w:rsidRDefault="00C87BF2" w:rsidP="00A33C3E">
            <w:r w:rsidRPr="00C31D96">
              <w:t>£7,350</w:t>
            </w:r>
          </w:p>
        </w:tc>
        <w:tc>
          <w:tcPr>
            <w:tcW w:w="976" w:type="dxa"/>
            <w:noWrap/>
            <w:hideMark/>
          </w:tcPr>
          <w:p w:rsidR="00C87BF2" w:rsidRPr="00C31D96" w:rsidRDefault="00C87BF2" w:rsidP="00A33C3E">
            <w:r w:rsidRPr="00C31D96">
              <w:t>£11,025</w:t>
            </w:r>
          </w:p>
        </w:tc>
        <w:tc>
          <w:tcPr>
            <w:tcW w:w="976" w:type="dxa"/>
            <w:noWrap/>
            <w:hideMark/>
          </w:tcPr>
          <w:p w:rsidR="00C87BF2" w:rsidRPr="00C31D96" w:rsidRDefault="00C87BF2" w:rsidP="00A33C3E">
            <w:r w:rsidRPr="00C31D96">
              <w:t>£14,700</w:t>
            </w:r>
          </w:p>
        </w:tc>
        <w:tc>
          <w:tcPr>
            <w:tcW w:w="976" w:type="dxa"/>
            <w:noWrap/>
            <w:hideMark/>
          </w:tcPr>
          <w:p w:rsidR="00C87BF2" w:rsidRPr="00C31D96" w:rsidRDefault="00C87BF2" w:rsidP="00A33C3E">
            <w:r w:rsidRPr="00C31D96">
              <w:t>£18,375</w:t>
            </w:r>
          </w:p>
        </w:tc>
        <w:tc>
          <w:tcPr>
            <w:tcW w:w="976" w:type="dxa"/>
            <w:noWrap/>
            <w:hideMark/>
          </w:tcPr>
          <w:p w:rsidR="00C87BF2" w:rsidRPr="00C31D96" w:rsidRDefault="00C87BF2" w:rsidP="00A33C3E">
            <w:r w:rsidRPr="00C31D96">
              <w:t>£22,050</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£22,050</w:t>
            </w:r>
          </w:p>
        </w:tc>
      </w:tr>
      <w:tr w:rsidR="00C87BF2" w:rsidRPr="00C31D96" w:rsidTr="00A33C3E">
        <w:trPr>
          <w:trHeight w:val="300"/>
        </w:trPr>
        <w:tc>
          <w:tcPr>
            <w:tcW w:w="3746" w:type="dxa"/>
            <w:noWrap/>
            <w:hideMark/>
          </w:tcPr>
          <w:p w:rsidR="00C87BF2" w:rsidRPr="00C31D96" w:rsidRDefault="00C87BF2" w:rsidP="00A33C3E">
            <w:r w:rsidRPr="00C31D96">
              <w:t>Frozen meals-door to door £3 per meal</w:t>
            </w:r>
          </w:p>
        </w:tc>
        <w:tc>
          <w:tcPr>
            <w:tcW w:w="927" w:type="dxa"/>
            <w:noWrap/>
            <w:hideMark/>
          </w:tcPr>
          <w:p w:rsidR="00C87BF2" w:rsidRPr="00C31D96" w:rsidRDefault="00C87BF2" w:rsidP="00A33C3E">
            <w:r w:rsidRPr="00C31D96">
              <w:t>40,000</w:t>
            </w:r>
          </w:p>
        </w:tc>
        <w:tc>
          <w:tcPr>
            <w:tcW w:w="1127" w:type="dxa"/>
            <w:noWrap/>
            <w:hideMark/>
          </w:tcPr>
          <w:p w:rsidR="00C87BF2" w:rsidRPr="00C31D96" w:rsidRDefault="00C87BF2" w:rsidP="00A33C3E">
            <w:r w:rsidRPr="00C31D96">
              <w:t>£120,000</w:t>
            </w:r>
          </w:p>
        </w:tc>
        <w:tc>
          <w:tcPr>
            <w:tcW w:w="1003" w:type="dxa"/>
            <w:noWrap/>
            <w:hideMark/>
          </w:tcPr>
          <w:p w:rsidR="00C87BF2" w:rsidRPr="00C31D96" w:rsidRDefault="00C87BF2" w:rsidP="00A33C3E"/>
        </w:tc>
        <w:tc>
          <w:tcPr>
            <w:tcW w:w="875" w:type="dxa"/>
            <w:noWrap/>
            <w:hideMark/>
          </w:tcPr>
          <w:p w:rsidR="00C87BF2" w:rsidRPr="00C31D96" w:rsidRDefault="00C87BF2" w:rsidP="00A33C3E">
            <w:r w:rsidRPr="00C31D96">
              <w:t>£6,000</w:t>
            </w:r>
          </w:p>
        </w:tc>
        <w:tc>
          <w:tcPr>
            <w:tcW w:w="976" w:type="dxa"/>
            <w:noWrap/>
            <w:hideMark/>
          </w:tcPr>
          <w:p w:rsidR="00C87BF2" w:rsidRPr="00C31D96" w:rsidRDefault="00C87BF2" w:rsidP="00A33C3E">
            <w:r w:rsidRPr="00C31D96">
              <w:t>£12,000</w:t>
            </w:r>
          </w:p>
        </w:tc>
        <w:tc>
          <w:tcPr>
            <w:tcW w:w="976" w:type="dxa"/>
            <w:noWrap/>
            <w:hideMark/>
          </w:tcPr>
          <w:p w:rsidR="00C87BF2" w:rsidRPr="00C31D96" w:rsidRDefault="00C87BF2" w:rsidP="00A33C3E">
            <w:r w:rsidRPr="00C31D96">
              <w:t>£18,000</w:t>
            </w:r>
          </w:p>
        </w:tc>
        <w:tc>
          <w:tcPr>
            <w:tcW w:w="976" w:type="dxa"/>
            <w:noWrap/>
            <w:hideMark/>
          </w:tcPr>
          <w:p w:rsidR="00C87BF2" w:rsidRPr="00C31D96" w:rsidRDefault="00C87BF2" w:rsidP="00A33C3E">
            <w:r w:rsidRPr="00C31D96">
              <w:t>£24,000</w:t>
            </w:r>
          </w:p>
        </w:tc>
        <w:tc>
          <w:tcPr>
            <w:tcW w:w="976" w:type="dxa"/>
            <w:noWrap/>
            <w:hideMark/>
          </w:tcPr>
          <w:p w:rsidR="00C87BF2" w:rsidRPr="00C31D96" w:rsidRDefault="00C87BF2" w:rsidP="00A33C3E">
            <w:r w:rsidRPr="00C31D96">
              <w:t>£30,000</w:t>
            </w:r>
          </w:p>
        </w:tc>
        <w:tc>
          <w:tcPr>
            <w:tcW w:w="976" w:type="dxa"/>
            <w:noWrap/>
            <w:hideMark/>
          </w:tcPr>
          <w:p w:rsidR="00C87BF2" w:rsidRPr="00C31D96" w:rsidRDefault="00C87BF2" w:rsidP="00A33C3E">
            <w:r w:rsidRPr="00C31D96">
              <w:t>£36,000</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£36,000</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 xml:space="preserve">Care at home </w:t>
            </w:r>
            <w:r w:rsidR="00FA1FF5">
              <w:t>–</w:t>
            </w:r>
            <w:r w:rsidRPr="00C31D96">
              <w:t xml:space="preserve"> clients</w:t>
            </w:r>
            <w:r w:rsidR="00FA1FF5">
              <w:t xml:space="preserve"> £13.27</w:t>
            </w:r>
          </w:p>
        </w:tc>
        <w:tc>
          <w:tcPr>
            <w:tcW w:w="927" w:type="dxa"/>
            <w:noWrap/>
            <w:hideMark/>
          </w:tcPr>
          <w:p w:rsidR="00C87BF2" w:rsidRPr="00C31D96" w:rsidRDefault="00C87BF2" w:rsidP="00A33C3E">
            <w:r w:rsidRPr="00C31D96">
              <w:t>22,021</w:t>
            </w:r>
          </w:p>
        </w:tc>
        <w:tc>
          <w:tcPr>
            <w:tcW w:w="1127" w:type="dxa"/>
            <w:noWrap/>
            <w:hideMark/>
          </w:tcPr>
          <w:p w:rsidR="00C87BF2" w:rsidRPr="00C31D96" w:rsidRDefault="00C87BF2" w:rsidP="00A33C3E">
            <w:r w:rsidRPr="00C31D96">
              <w:t>£292,219</w:t>
            </w:r>
          </w:p>
        </w:tc>
        <w:tc>
          <w:tcPr>
            <w:tcW w:w="1003" w:type="dxa"/>
            <w:noWrap/>
            <w:hideMark/>
          </w:tcPr>
          <w:p w:rsidR="00C87BF2" w:rsidRPr="00C31D96" w:rsidRDefault="00C87BF2" w:rsidP="00A33C3E"/>
        </w:tc>
        <w:tc>
          <w:tcPr>
            <w:tcW w:w="875" w:type="dxa"/>
            <w:noWrap/>
            <w:hideMark/>
          </w:tcPr>
          <w:p w:rsidR="00C87BF2" w:rsidRPr="00C31D96" w:rsidRDefault="00C87BF2" w:rsidP="00A33C3E">
            <w:pPr>
              <w:rPr>
                <w:sz w:val="20"/>
                <w:szCs w:val="20"/>
              </w:rPr>
            </w:pPr>
            <w:r w:rsidRPr="00C31D96">
              <w:rPr>
                <w:sz w:val="20"/>
                <w:szCs w:val="20"/>
              </w:rPr>
              <w:t>£14,611</w:t>
            </w:r>
          </w:p>
        </w:tc>
        <w:tc>
          <w:tcPr>
            <w:tcW w:w="976" w:type="dxa"/>
            <w:noWrap/>
            <w:hideMark/>
          </w:tcPr>
          <w:p w:rsidR="00C87BF2" w:rsidRPr="00C31D96" w:rsidRDefault="00C87BF2" w:rsidP="00A33C3E">
            <w:r w:rsidRPr="00C31D96">
              <w:t>£29,222</w:t>
            </w:r>
          </w:p>
        </w:tc>
        <w:tc>
          <w:tcPr>
            <w:tcW w:w="976" w:type="dxa"/>
            <w:noWrap/>
            <w:hideMark/>
          </w:tcPr>
          <w:p w:rsidR="00C87BF2" w:rsidRPr="00C31D96" w:rsidRDefault="00C87BF2" w:rsidP="00A33C3E">
            <w:r w:rsidRPr="00C31D96">
              <w:t>£43,833</w:t>
            </w:r>
          </w:p>
        </w:tc>
        <w:tc>
          <w:tcPr>
            <w:tcW w:w="976" w:type="dxa"/>
            <w:noWrap/>
            <w:hideMark/>
          </w:tcPr>
          <w:p w:rsidR="00C87BF2" w:rsidRPr="00C31D96" w:rsidRDefault="00C87BF2" w:rsidP="00A33C3E">
            <w:r w:rsidRPr="00C31D96">
              <w:t>£58,444</w:t>
            </w:r>
          </w:p>
        </w:tc>
        <w:tc>
          <w:tcPr>
            <w:tcW w:w="976" w:type="dxa"/>
            <w:noWrap/>
            <w:hideMark/>
          </w:tcPr>
          <w:p w:rsidR="00C87BF2" w:rsidRPr="00C31D96" w:rsidRDefault="00C87BF2" w:rsidP="00A33C3E">
            <w:r w:rsidRPr="00C31D96">
              <w:t>£73,055</w:t>
            </w:r>
          </w:p>
        </w:tc>
        <w:tc>
          <w:tcPr>
            <w:tcW w:w="976" w:type="dxa"/>
            <w:noWrap/>
            <w:hideMark/>
          </w:tcPr>
          <w:p w:rsidR="00C87BF2" w:rsidRPr="00C31D96" w:rsidRDefault="00C87BF2" w:rsidP="00A33C3E">
            <w:r w:rsidRPr="00C31D96">
              <w:t>£87,666</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£87,666</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Community alarm - current users £2 to £4</w:t>
            </w:r>
          </w:p>
        </w:tc>
        <w:tc>
          <w:tcPr>
            <w:tcW w:w="927" w:type="dxa"/>
            <w:noWrap/>
            <w:hideMark/>
          </w:tcPr>
          <w:p w:rsidR="00C87BF2" w:rsidRPr="00C31D96" w:rsidRDefault="00C87BF2" w:rsidP="00A33C3E">
            <w:r w:rsidRPr="00C31D96">
              <w:t>1,469</w:t>
            </w:r>
          </w:p>
        </w:tc>
        <w:tc>
          <w:tcPr>
            <w:tcW w:w="1127" w:type="dxa"/>
            <w:noWrap/>
            <w:hideMark/>
          </w:tcPr>
          <w:p w:rsidR="00C87BF2" w:rsidRPr="00C31D96" w:rsidRDefault="00C87BF2" w:rsidP="00A33C3E">
            <w:r w:rsidRPr="00C31D96">
              <w:t>£152,776</w:t>
            </w:r>
          </w:p>
        </w:tc>
        <w:tc>
          <w:tcPr>
            <w:tcW w:w="1003" w:type="dxa"/>
            <w:noWrap/>
            <w:hideMark/>
          </w:tcPr>
          <w:p w:rsidR="00C87BF2" w:rsidRPr="00C31D96" w:rsidRDefault="00C87BF2" w:rsidP="00A33C3E">
            <w:pPr>
              <w:rPr>
                <w:sz w:val="20"/>
                <w:szCs w:val="20"/>
              </w:rPr>
            </w:pPr>
            <w:r w:rsidRPr="00C31D96">
              <w:rPr>
                <w:sz w:val="20"/>
                <w:szCs w:val="20"/>
              </w:rPr>
              <w:t>£152,776</w:t>
            </w:r>
          </w:p>
        </w:tc>
        <w:tc>
          <w:tcPr>
            <w:tcW w:w="875" w:type="dxa"/>
            <w:noWrap/>
            <w:hideMark/>
          </w:tcPr>
          <w:p w:rsidR="00C87BF2" w:rsidRPr="00C31D96" w:rsidRDefault="00C87BF2" w:rsidP="00A33C3E">
            <w:pPr>
              <w:rPr>
                <w:sz w:val="20"/>
                <w:szCs w:val="20"/>
              </w:rPr>
            </w:pPr>
          </w:p>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£152,776</w:t>
            </w:r>
          </w:p>
        </w:tc>
      </w:tr>
      <w:tr w:rsidR="00C87BF2" w:rsidRPr="00C31D96" w:rsidTr="00A33C3E">
        <w:trPr>
          <w:trHeight w:val="300"/>
        </w:trPr>
        <w:tc>
          <w:tcPr>
            <w:tcW w:w="3746" w:type="dxa"/>
            <w:noWrap/>
            <w:hideMark/>
          </w:tcPr>
          <w:p w:rsidR="00C87BF2" w:rsidRPr="00C31D96" w:rsidRDefault="00C87BF2" w:rsidP="00A33C3E">
            <w:r w:rsidRPr="00C31D96">
              <w:t>Community alarm - clients not previously charged £4</w:t>
            </w:r>
          </w:p>
        </w:tc>
        <w:tc>
          <w:tcPr>
            <w:tcW w:w="927" w:type="dxa"/>
            <w:noWrap/>
            <w:hideMark/>
          </w:tcPr>
          <w:p w:rsidR="00C87BF2" w:rsidRPr="00C31D96" w:rsidRDefault="00C87BF2" w:rsidP="00A33C3E">
            <w:r w:rsidRPr="00C31D96">
              <w:t>631</w:t>
            </w:r>
          </w:p>
        </w:tc>
        <w:tc>
          <w:tcPr>
            <w:tcW w:w="1127" w:type="dxa"/>
            <w:noWrap/>
            <w:hideMark/>
          </w:tcPr>
          <w:p w:rsidR="00C87BF2" w:rsidRPr="00C31D96" w:rsidRDefault="00C87BF2" w:rsidP="00A33C3E">
            <w:r w:rsidRPr="00C31D96">
              <w:t>£131,248</w:t>
            </w:r>
          </w:p>
        </w:tc>
        <w:tc>
          <w:tcPr>
            <w:tcW w:w="1003" w:type="dxa"/>
            <w:noWrap/>
            <w:hideMark/>
          </w:tcPr>
          <w:p w:rsidR="00C87BF2" w:rsidRPr="00C31D96" w:rsidRDefault="00C87BF2" w:rsidP="00A33C3E">
            <w:pPr>
              <w:rPr>
                <w:sz w:val="20"/>
                <w:szCs w:val="20"/>
              </w:rPr>
            </w:pPr>
            <w:r w:rsidRPr="00C31D96">
              <w:rPr>
                <w:sz w:val="20"/>
                <w:szCs w:val="20"/>
              </w:rPr>
              <w:t>£131,248</w:t>
            </w:r>
          </w:p>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£131,248</w:t>
            </w:r>
          </w:p>
        </w:tc>
      </w:tr>
      <w:tr w:rsidR="00C87BF2" w:rsidRPr="00C31D96" w:rsidTr="00A33C3E">
        <w:trPr>
          <w:trHeight w:val="300"/>
        </w:trPr>
        <w:tc>
          <w:tcPr>
            <w:tcW w:w="3746" w:type="dxa"/>
            <w:noWrap/>
            <w:hideMark/>
          </w:tcPr>
          <w:p w:rsidR="00C87BF2" w:rsidRPr="00C31D96" w:rsidRDefault="00C87BF2" w:rsidP="00A33C3E">
            <w:pPr>
              <w:rPr>
                <w:b/>
                <w:bCs/>
              </w:rPr>
            </w:pPr>
            <w:r w:rsidRPr="00C31D96">
              <w:rPr>
                <w:b/>
                <w:bCs/>
              </w:rPr>
              <w:t>Total</w:t>
            </w:r>
          </w:p>
        </w:tc>
        <w:tc>
          <w:tcPr>
            <w:tcW w:w="927" w:type="dxa"/>
            <w:noWrap/>
            <w:hideMark/>
          </w:tcPr>
          <w:p w:rsidR="00C87BF2" w:rsidRPr="00C31D96" w:rsidRDefault="00C87BF2" w:rsidP="00A33C3E">
            <w:pPr>
              <w:rPr>
                <w:b/>
                <w:bCs/>
              </w:rPr>
            </w:pPr>
          </w:p>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FF3E84" w:rsidRDefault="00C87BF2" w:rsidP="00A33C3E">
            <w:pPr>
              <w:rPr>
                <w:b/>
                <w:bCs/>
                <w:sz w:val="18"/>
                <w:szCs w:val="18"/>
              </w:rPr>
            </w:pPr>
            <w:r w:rsidRPr="00FF3E84">
              <w:rPr>
                <w:b/>
                <w:bCs/>
                <w:sz w:val="18"/>
                <w:szCs w:val="18"/>
              </w:rPr>
              <w:t>£96,259</w:t>
            </w:r>
          </w:p>
        </w:tc>
        <w:tc>
          <w:tcPr>
            <w:tcW w:w="976" w:type="dxa"/>
            <w:noWrap/>
            <w:hideMark/>
          </w:tcPr>
          <w:p w:rsidR="00C87BF2" w:rsidRPr="00FF3E84" w:rsidRDefault="00C87BF2" w:rsidP="00A33C3E">
            <w:pPr>
              <w:rPr>
                <w:b/>
                <w:bCs/>
                <w:sz w:val="18"/>
                <w:szCs w:val="18"/>
              </w:rPr>
            </w:pPr>
            <w:r w:rsidRPr="00FF3E84">
              <w:rPr>
                <w:b/>
                <w:bCs/>
                <w:sz w:val="18"/>
                <w:szCs w:val="18"/>
              </w:rPr>
              <w:t>£192,518</w:t>
            </w:r>
          </w:p>
        </w:tc>
        <w:tc>
          <w:tcPr>
            <w:tcW w:w="976" w:type="dxa"/>
            <w:noWrap/>
            <w:hideMark/>
          </w:tcPr>
          <w:p w:rsidR="00C87BF2" w:rsidRPr="00FF3E84" w:rsidRDefault="00C87BF2" w:rsidP="00A33C3E">
            <w:pPr>
              <w:rPr>
                <w:b/>
                <w:bCs/>
                <w:sz w:val="18"/>
                <w:szCs w:val="18"/>
              </w:rPr>
            </w:pPr>
            <w:r w:rsidRPr="00FF3E84">
              <w:rPr>
                <w:b/>
                <w:bCs/>
                <w:sz w:val="18"/>
                <w:szCs w:val="18"/>
              </w:rPr>
              <w:t>£288,777</w:t>
            </w:r>
          </w:p>
        </w:tc>
        <w:tc>
          <w:tcPr>
            <w:tcW w:w="976" w:type="dxa"/>
            <w:noWrap/>
            <w:hideMark/>
          </w:tcPr>
          <w:p w:rsidR="00C87BF2" w:rsidRPr="00FF3E84" w:rsidRDefault="00C87BF2" w:rsidP="00A33C3E">
            <w:pPr>
              <w:rPr>
                <w:b/>
                <w:bCs/>
                <w:sz w:val="18"/>
                <w:szCs w:val="18"/>
              </w:rPr>
            </w:pPr>
            <w:r w:rsidRPr="00FF3E84">
              <w:rPr>
                <w:b/>
                <w:bCs/>
                <w:sz w:val="18"/>
                <w:szCs w:val="18"/>
              </w:rPr>
              <w:t>£385,036</w:t>
            </w:r>
          </w:p>
        </w:tc>
        <w:tc>
          <w:tcPr>
            <w:tcW w:w="976" w:type="dxa"/>
            <w:noWrap/>
            <w:hideMark/>
          </w:tcPr>
          <w:p w:rsidR="00C87BF2" w:rsidRPr="00FF3E84" w:rsidRDefault="00C87BF2" w:rsidP="00A33C3E">
            <w:pPr>
              <w:rPr>
                <w:b/>
                <w:bCs/>
                <w:sz w:val="18"/>
                <w:szCs w:val="18"/>
              </w:rPr>
            </w:pPr>
            <w:r w:rsidRPr="00FF3E84">
              <w:rPr>
                <w:b/>
                <w:bCs/>
                <w:sz w:val="18"/>
                <w:szCs w:val="18"/>
              </w:rPr>
              <w:t>£481,294</w:t>
            </w:r>
          </w:p>
        </w:tc>
        <w:tc>
          <w:tcPr>
            <w:tcW w:w="976" w:type="dxa"/>
            <w:noWrap/>
            <w:hideMark/>
          </w:tcPr>
          <w:p w:rsidR="00C87BF2" w:rsidRPr="00FF3E84" w:rsidRDefault="00C87BF2" w:rsidP="00A33C3E">
            <w:pPr>
              <w:rPr>
                <w:b/>
                <w:bCs/>
                <w:sz w:val="18"/>
                <w:szCs w:val="18"/>
              </w:rPr>
            </w:pPr>
            <w:r w:rsidRPr="00FF3E84">
              <w:rPr>
                <w:b/>
                <w:bCs/>
                <w:sz w:val="18"/>
                <w:szCs w:val="18"/>
              </w:rPr>
              <w:t>£577,553</w:t>
            </w:r>
          </w:p>
        </w:tc>
        <w:tc>
          <w:tcPr>
            <w:tcW w:w="261" w:type="dxa"/>
            <w:noWrap/>
            <w:hideMark/>
          </w:tcPr>
          <w:p w:rsidR="00C87BF2" w:rsidRPr="00C31D96" w:rsidRDefault="00C87BF2" w:rsidP="00A33C3E">
            <w:pPr>
              <w:rPr>
                <w:b/>
                <w:bCs/>
              </w:rPr>
            </w:pPr>
            <w:r w:rsidRPr="00C31D96">
              <w:rPr>
                <w:b/>
                <w:bCs/>
              </w:rPr>
              <w:t> </w:t>
            </w:r>
          </w:p>
        </w:tc>
        <w:tc>
          <w:tcPr>
            <w:tcW w:w="1129" w:type="dxa"/>
            <w:noWrap/>
            <w:hideMark/>
          </w:tcPr>
          <w:p w:rsidR="00C87BF2" w:rsidRPr="00C31D96" w:rsidRDefault="00C87BF2" w:rsidP="00A33C3E">
            <w:pPr>
              <w:rPr>
                <w:b/>
                <w:bCs/>
              </w:rPr>
            </w:pPr>
            <w:r w:rsidRPr="00C31D96">
              <w:rPr>
                <w:b/>
                <w:bCs/>
              </w:rPr>
              <w:t>£861,577</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pPr>
              <w:rPr>
                <w:b/>
                <w:bCs/>
                <w:u w:val="single"/>
              </w:rPr>
            </w:pPr>
            <w:r w:rsidRPr="00C31D96">
              <w:rPr>
                <w:b/>
                <w:bCs/>
                <w:u w:val="single"/>
              </w:rPr>
              <w:t>New services</w:t>
            </w:r>
          </w:p>
        </w:tc>
        <w:tc>
          <w:tcPr>
            <w:tcW w:w="927" w:type="dxa"/>
            <w:noWrap/>
            <w:hideMark/>
          </w:tcPr>
          <w:p w:rsidR="00C87BF2" w:rsidRPr="00C31D96" w:rsidRDefault="00C87BF2" w:rsidP="00A33C3E">
            <w:pPr>
              <w:rPr>
                <w:b/>
                <w:bCs/>
                <w:u w:val="single"/>
              </w:rPr>
            </w:pPr>
          </w:p>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Transport  £4 journey x 2</w:t>
            </w:r>
          </w:p>
        </w:tc>
        <w:tc>
          <w:tcPr>
            <w:tcW w:w="927" w:type="dxa"/>
            <w:noWrap/>
            <w:hideMark/>
          </w:tcPr>
          <w:p w:rsidR="00C87BF2" w:rsidRPr="00C31D96" w:rsidRDefault="00C87BF2" w:rsidP="00A33C3E">
            <w:r w:rsidRPr="00C31D96">
              <w:t>7,500</w:t>
            </w:r>
          </w:p>
        </w:tc>
        <w:tc>
          <w:tcPr>
            <w:tcW w:w="1127" w:type="dxa"/>
            <w:noWrap/>
            <w:hideMark/>
          </w:tcPr>
          <w:p w:rsidR="00C87BF2" w:rsidRPr="00C31D96" w:rsidRDefault="00C87BF2" w:rsidP="00A33C3E">
            <w:r w:rsidRPr="00C31D96">
              <w:t>£0</w:t>
            </w:r>
          </w:p>
        </w:tc>
        <w:tc>
          <w:tcPr>
            <w:tcW w:w="1003" w:type="dxa"/>
            <w:noWrap/>
            <w:hideMark/>
          </w:tcPr>
          <w:p w:rsidR="00C87BF2" w:rsidRPr="00C31D96" w:rsidRDefault="00C87BF2" w:rsidP="00A33C3E">
            <w:r w:rsidRPr="00C31D96">
              <w:t>£60,000</w:t>
            </w:r>
          </w:p>
        </w:tc>
        <w:tc>
          <w:tcPr>
            <w:tcW w:w="875"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£60,000</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Day centre U65 £5 per session</w:t>
            </w:r>
            <w:r w:rsidR="00852040">
              <w:rPr>
                <w:rStyle w:val="FootnoteReference"/>
              </w:rPr>
              <w:footnoteReference w:id="2"/>
            </w:r>
          </w:p>
        </w:tc>
        <w:tc>
          <w:tcPr>
            <w:tcW w:w="927" w:type="dxa"/>
            <w:noWrap/>
            <w:hideMark/>
          </w:tcPr>
          <w:p w:rsidR="00C87BF2" w:rsidRPr="00C31D96" w:rsidRDefault="00C87BF2" w:rsidP="00A33C3E">
            <w:r w:rsidRPr="00C31D96">
              <w:t>22,760</w:t>
            </w:r>
          </w:p>
        </w:tc>
        <w:tc>
          <w:tcPr>
            <w:tcW w:w="1127" w:type="dxa"/>
            <w:noWrap/>
            <w:hideMark/>
          </w:tcPr>
          <w:p w:rsidR="00C87BF2" w:rsidRPr="00C31D96" w:rsidRDefault="00C87BF2" w:rsidP="00A33C3E">
            <w:r w:rsidRPr="00C31D96">
              <w:t>£0</w:t>
            </w:r>
          </w:p>
        </w:tc>
        <w:tc>
          <w:tcPr>
            <w:tcW w:w="1003" w:type="dxa"/>
            <w:noWrap/>
            <w:hideMark/>
          </w:tcPr>
          <w:p w:rsidR="00C87BF2" w:rsidRPr="00C31D96" w:rsidRDefault="00C87BF2" w:rsidP="00A33C3E">
            <w:pPr>
              <w:rPr>
                <w:sz w:val="20"/>
                <w:szCs w:val="20"/>
              </w:rPr>
            </w:pPr>
            <w:r w:rsidRPr="00C31D96">
              <w:rPr>
                <w:sz w:val="20"/>
                <w:szCs w:val="20"/>
              </w:rPr>
              <w:t>£113,800</w:t>
            </w:r>
          </w:p>
        </w:tc>
        <w:tc>
          <w:tcPr>
            <w:tcW w:w="875"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£113,800</w:t>
            </w:r>
          </w:p>
        </w:tc>
      </w:tr>
      <w:tr w:rsidR="00C87BF2" w:rsidRPr="00C31D96" w:rsidTr="00A33C3E">
        <w:trPr>
          <w:trHeight w:val="300"/>
        </w:trPr>
        <w:tc>
          <w:tcPr>
            <w:tcW w:w="3746" w:type="dxa"/>
            <w:noWrap/>
            <w:hideMark/>
          </w:tcPr>
          <w:p w:rsidR="00C87BF2" w:rsidRPr="00C31D96" w:rsidRDefault="00C87BF2" w:rsidP="00A33C3E">
            <w:r w:rsidRPr="00C31D96">
              <w:t>Day centre O65 £5 per session</w:t>
            </w:r>
            <w:r w:rsidR="00852040">
              <w:rPr>
                <w:rStyle w:val="FootnoteReference"/>
              </w:rPr>
              <w:footnoteReference w:id="3"/>
            </w:r>
          </w:p>
        </w:tc>
        <w:tc>
          <w:tcPr>
            <w:tcW w:w="927" w:type="dxa"/>
            <w:noWrap/>
            <w:hideMark/>
          </w:tcPr>
          <w:p w:rsidR="00C87BF2" w:rsidRPr="00C31D96" w:rsidRDefault="00C87BF2" w:rsidP="00A33C3E">
            <w:r w:rsidRPr="00C31D96">
              <w:t>1,752</w:t>
            </w:r>
          </w:p>
        </w:tc>
        <w:tc>
          <w:tcPr>
            <w:tcW w:w="1127" w:type="dxa"/>
            <w:noWrap/>
            <w:hideMark/>
          </w:tcPr>
          <w:p w:rsidR="00C87BF2" w:rsidRPr="00C31D96" w:rsidRDefault="00C87BF2" w:rsidP="00A33C3E">
            <w:r w:rsidRPr="00C31D96">
              <w:t>£0</w:t>
            </w:r>
          </w:p>
        </w:tc>
        <w:tc>
          <w:tcPr>
            <w:tcW w:w="1003" w:type="dxa"/>
            <w:noWrap/>
            <w:hideMark/>
          </w:tcPr>
          <w:p w:rsidR="00C87BF2" w:rsidRPr="00C31D96" w:rsidRDefault="00C87BF2" w:rsidP="00A33C3E">
            <w:r w:rsidRPr="00C31D96">
              <w:t>£8,760</w:t>
            </w:r>
          </w:p>
        </w:tc>
        <w:tc>
          <w:tcPr>
            <w:tcW w:w="875"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£8,760</w:t>
            </w:r>
          </w:p>
        </w:tc>
      </w:tr>
      <w:tr w:rsidR="00C87BF2" w:rsidRPr="00C31D96" w:rsidTr="00A33C3E">
        <w:trPr>
          <w:trHeight w:val="300"/>
        </w:trPr>
        <w:tc>
          <w:tcPr>
            <w:tcW w:w="3746" w:type="dxa"/>
            <w:noWrap/>
            <w:hideMark/>
          </w:tcPr>
          <w:p w:rsidR="00C87BF2" w:rsidRPr="00C31D96" w:rsidRDefault="00C87BF2" w:rsidP="00A33C3E">
            <w:r w:rsidRPr="00C31D96">
              <w:lastRenderedPageBreak/>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C31D96" w:rsidTr="00A33C3E">
        <w:trPr>
          <w:trHeight w:val="300"/>
        </w:trPr>
        <w:tc>
          <w:tcPr>
            <w:tcW w:w="3746" w:type="dxa"/>
            <w:noWrap/>
            <w:hideMark/>
          </w:tcPr>
          <w:p w:rsidR="00C87BF2" w:rsidRPr="00C31D96" w:rsidRDefault="00C87BF2" w:rsidP="00A33C3E">
            <w:r w:rsidRPr="00C31D96">
              <w:t>Housing support - U65 (assume only 25% can pay)</w:t>
            </w:r>
          </w:p>
        </w:tc>
        <w:tc>
          <w:tcPr>
            <w:tcW w:w="927" w:type="dxa"/>
            <w:noWrap/>
            <w:hideMark/>
          </w:tcPr>
          <w:p w:rsidR="00C87BF2" w:rsidRPr="00C31D96" w:rsidRDefault="00C87BF2" w:rsidP="00A33C3E">
            <w:r w:rsidRPr="00C31D96">
              <w:t>8,300</w:t>
            </w:r>
          </w:p>
        </w:tc>
        <w:tc>
          <w:tcPr>
            <w:tcW w:w="1127" w:type="dxa"/>
            <w:noWrap/>
            <w:hideMark/>
          </w:tcPr>
          <w:p w:rsidR="00C87BF2" w:rsidRPr="00C31D96" w:rsidRDefault="00C87BF2" w:rsidP="00A33C3E">
            <w:r w:rsidRPr="00C31D96">
              <w:t>£27,535</w:t>
            </w:r>
          </w:p>
        </w:tc>
        <w:tc>
          <w:tcPr>
            <w:tcW w:w="1003" w:type="dxa"/>
            <w:noWrap/>
            <w:hideMark/>
          </w:tcPr>
          <w:p w:rsidR="00C87BF2" w:rsidRPr="00C31D96" w:rsidRDefault="00C87BF2" w:rsidP="00A33C3E"/>
        </w:tc>
        <w:tc>
          <w:tcPr>
            <w:tcW w:w="875" w:type="dxa"/>
            <w:noWrap/>
            <w:hideMark/>
          </w:tcPr>
          <w:p w:rsidR="00C87BF2" w:rsidRPr="00C31D96" w:rsidRDefault="00C87BF2" w:rsidP="00A33C3E">
            <w:r w:rsidRPr="00C31D96">
              <w:t>£1,377</w:t>
            </w:r>
          </w:p>
        </w:tc>
        <w:tc>
          <w:tcPr>
            <w:tcW w:w="976" w:type="dxa"/>
            <w:noWrap/>
            <w:hideMark/>
          </w:tcPr>
          <w:p w:rsidR="00C87BF2" w:rsidRPr="00C31D96" w:rsidRDefault="00C87BF2" w:rsidP="00A33C3E">
            <w:r w:rsidRPr="00C31D96">
              <w:t>£2,754</w:t>
            </w:r>
          </w:p>
        </w:tc>
        <w:tc>
          <w:tcPr>
            <w:tcW w:w="976" w:type="dxa"/>
            <w:noWrap/>
            <w:hideMark/>
          </w:tcPr>
          <w:p w:rsidR="00C87BF2" w:rsidRPr="00C31D96" w:rsidRDefault="00C87BF2" w:rsidP="00A33C3E">
            <w:r w:rsidRPr="00C31D96">
              <w:t>£4,130</w:t>
            </w:r>
          </w:p>
        </w:tc>
        <w:tc>
          <w:tcPr>
            <w:tcW w:w="976" w:type="dxa"/>
            <w:noWrap/>
            <w:hideMark/>
          </w:tcPr>
          <w:p w:rsidR="00C87BF2" w:rsidRPr="00C31D96" w:rsidRDefault="00C87BF2" w:rsidP="00A33C3E">
            <w:r w:rsidRPr="00C31D96">
              <w:t>£5,507</w:t>
            </w:r>
          </w:p>
        </w:tc>
        <w:tc>
          <w:tcPr>
            <w:tcW w:w="976" w:type="dxa"/>
            <w:noWrap/>
            <w:hideMark/>
          </w:tcPr>
          <w:p w:rsidR="00C87BF2" w:rsidRPr="00C31D96" w:rsidRDefault="00C87BF2" w:rsidP="00A33C3E">
            <w:r w:rsidRPr="00C31D96">
              <w:t>£6,884</w:t>
            </w:r>
          </w:p>
        </w:tc>
        <w:tc>
          <w:tcPr>
            <w:tcW w:w="976" w:type="dxa"/>
            <w:noWrap/>
            <w:hideMark/>
          </w:tcPr>
          <w:p w:rsidR="00C87BF2" w:rsidRPr="00C31D96" w:rsidRDefault="00C87BF2" w:rsidP="00A33C3E">
            <w:r w:rsidRPr="00C31D96">
              <w:t>£8,261</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£8,261</w:t>
            </w:r>
          </w:p>
        </w:tc>
      </w:tr>
      <w:tr w:rsidR="00C87BF2" w:rsidRPr="00C31D96" w:rsidTr="00A33C3E">
        <w:trPr>
          <w:trHeight w:val="300"/>
        </w:trPr>
        <w:tc>
          <w:tcPr>
            <w:tcW w:w="3746" w:type="dxa"/>
            <w:noWrap/>
            <w:hideMark/>
          </w:tcPr>
          <w:p w:rsidR="00C87BF2" w:rsidRPr="00C31D96" w:rsidRDefault="00C87BF2" w:rsidP="00A33C3E">
            <w:r w:rsidRPr="00C31D96">
              <w:t xml:space="preserve">Housing support - O65 </w:t>
            </w:r>
          </w:p>
        </w:tc>
        <w:tc>
          <w:tcPr>
            <w:tcW w:w="927" w:type="dxa"/>
            <w:noWrap/>
            <w:hideMark/>
          </w:tcPr>
          <w:p w:rsidR="00C87BF2" w:rsidRPr="00C31D96" w:rsidRDefault="00C87BF2" w:rsidP="00A33C3E">
            <w:r w:rsidRPr="00C31D96">
              <w:t>1,641</w:t>
            </w:r>
          </w:p>
        </w:tc>
        <w:tc>
          <w:tcPr>
            <w:tcW w:w="1127" w:type="dxa"/>
            <w:noWrap/>
            <w:hideMark/>
          </w:tcPr>
          <w:p w:rsidR="00C87BF2" w:rsidRPr="00C31D96" w:rsidRDefault="00C87BF2" w:rsidP="00A33C3E">
            <w:r w:rsidRPr="00C31D96">
              <w:t>£21,776</w:t>
            </w:r>
          </w:p>
        </w:tc>
        <w:tc>
          <w:tcPr>
            <w:tcW w:w="1003" w:type="dxa"/>
            <w:noWrap/>
            <w:hideMark/>
          </w:tcPr>
          <w:p w:rsidR="00C87BF2" w:rsidRPr="00C31D96" w:rsidRDefault="00C87BF2" w:rsidP="00A33C3E"/>
        </w:tc>
        <w:tc>
          <w:tcPr>
            <w:tcW w:w="875" w:type="dxa"/>
            <w:noWrap/>
            <w:hideMark/>
          </w:tcPr>
          <w:p w:rsidR="00C87BF2" w:rsidRPr="00C31D96" w:rsidRDefault="00C87BF2" w:rsidP="00A33C3E">
            <w:r w:rsidRPr="00C31D96">
              <w:t>£1,089</w:t>
            </w:r>
          </w:p>
        </w:tc>
        <w:tc>
          <w:tcPr>
            <w:tcW w:w="976" w:type="dxa"/>
            <w:noWrap/>
            <w:hideMark/>
          </w:tcPr>
          <w:p w:rsidR="00C87BF2" w:rsidRPr="00C31D96" w:rsidRDefault="00C87BF2" w:rsidP="00A33C3E">
            <w:r w:rsidRPr="00C31D96">
              <w:t>£2,178</w:t>
            </w:r>
          </w:p>
        </w:tc>
        <w:tc>
          <w:tcPr>
            <w:tcW w:w="976" w:type="dxa"/>
            <w:noWrap/>
            <w:hideMark/>
          </w:tcPr>
          <w:p w:rsidR="00C87BF2" w:rsidRPr="00C31D96" w:rsidRDefault="00C87BF2" w:rsidP="00A33C3E">
            <w:r w:rsidRPr="00C31D96">
              <w:t>£3,266</w:t>
            </w:r>
          </w:p>
        </w:tc>
        <w:tc>
          <w:tcPr>
            <w:tcW w:w="976" w:type="dxa"/>
            <w:noWrap/>
            <w:hideMark/>
          </w:tcPr>
          <w:p w:rsidR="00C87BF2" w:rsidRPr="00C31D96" w:rsidRDefault="00C87BF2" w:rsidP="00A33C3E">
            <w:r w:rsidRPr="00C31D96">
              <w:t>£4,355</w:t>
            </w:r>
          </w:p>
        </w:tc>
        <w:tc>
          <w:tcPr>
            <w:tcW w:w="976" w:type="dxa"/>
            <w:noWrap/>
            <w:hideMark/>
          </w:tcPr>
          <w:p w:rsidR="00C87BF2" w:rsidRPr="00C31D96" w:rsidRDefault="00C87BF2" w:rsidP="00A33C3E">
            <w:r w:rsidRPr="00C31D96">
              <w:t>£5,444</w:t>
            </w:r>
          </w:p>
        </w:tc>
        <w:tc>
          <w:tcPr>
            <w:tcW w:w="976" w:type="dxa"/>
            <w:noWrap/>
            <w:hideMark/>
          </w:tcPr>
          <w:p w:rsidR="00C87BF2" w:rsidRPr="00C31D96" w:rsidRDefault="00C87BF2" w:rsidP="00A33C3E">
            <w:r w:rsidRPr="00C31D96">
              <w:t>£6,533</w:t>
            </w:r>
          </w:p>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£6,533</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pPr>
              <w:rPr>
                <w:b/>
                <w:bCs/>
              </w:rPr>
            </w:pPr>
            <w:r w:rsidRPr="00C31D96">
              <w:rPr>
                <w:b/>
                <w:bCs/>
              </w:rPr>
              <w:t>£2,466</w:t>
            </w:r>
          </w:p>
        </w:tc>
        <w:tc>
          <w:tcPr>
            <w:tcW w:w="976" w:type="dxa"/>
            <w:noWrap/>
            <w:hideMark/>
          </w:tcPr>
          <w:p w:rsidR="00C87BF2" w:rsidRPr="00C31D96" w:rsidRDefault="00C87BF2" w:rsidP="00A33C3E">
            <w:pPr>
              <w:rPr>
                <w:b/>
                <w:bCs/>
              </w:rPr>
            </w:pPr>
            <w:r w:rsidRPr="00C31D96">
              <w:rPr>
                <w:b/>
                <w:bCs/>
              </w:rPr>
              <w:t>£4,931</w:t>
            </w:r>
          </w:p>
        </w:tc>
        <w:tc>
          <w:tcPr>
            <w:tcW w:w="976" w:type="dxa"/>
            <w:noWrap/>
            <w:hideMark/>
          </w:tcPr>
          <w:p w:rsidR="00C87BF2" w:rsidRPr="00C31D96" w:rsidRDefault="00C87BF2" w:rsidP="00A33C3E">
            <w:pPr>
              <w:rPr>
                <w:b/>
                <w:bCs/>
              </w:rPr>
            </w:pPr>
            <w:r w:rsidRPr="00C31D96">
              <w:rPr>
                <w:b/>
                <w:bCs/>
              </w:rPr>
              <w:t>£7,397</w:t>
            </w:r>
          </w:p>
        </w:tc>
        <w:tc>
          <w:tcPr>
            <w:tcW w:w="976" w:type="dxa"/>
            <w:noWrap/>
            <w:hideMark/>
          </w:tcPr>
          <w:p w:rsidR="00C87BF2" w:rsidRPr="00C31D96" w:rsidRDefault="00C87BF2" w:rsidP="00A33C3E">
            <w:pPr>
              <w:rPr>
                <w:b/>
                <w:bCs/>
              </w:rPr>
            </w:pPr>
            <w:r w:rsidRPr="00C31D96">
              <w:rPr>
                <w:b/>
                <w:bCs/>
              </w:rPr>
              <w:t>£9,862</w:t>
            </w:r>
          </w:p>
        </w:tc>
        <w:tc>
          <w:tcPr>
            <w:tcW w:w="976" w:type="dxa"/>
            <w:noWrap/>
            <w:hideMark/>
          </w:tcPr>
          <w:p w:rsidR="00C87BF2" w:rsidRPr="00C31D96" w:rsidRDefault="00C87BF2" w:rsidP="00A33C3E">
            <w:pPr>
              <w:rPr>
                <w:b/>
                <w:bCs/>
              </w:rPr>
            </w:pPr>
            <w:r w:rsidRPr="00C31D96">
              <w:rPr>
                <w:b/>
                <w:bCs/>
              </w:rPr>
              <w:t>£12,328</w:t>
            </w:r>
          </w:p>
        </w:tc>
        <w:tc>
          <w:tcPr>
            <w:tcW w:w="976" w:type="dxa"/>
            <w:noWrap/>
            <w:hideMark/>
          </w:tcPr>
          <w:p w:rsidR="00C87BF2" w:rsidRPr="00C31D96" w:rsidRDefault="00C87BF2" w:rsidP="00A33C3E">
            <w:pPr>
              <w:rPr>
                <w:b/>
                <w:bCs/>
              </w:rPr>
            </w:pPr>
            <w:r w:rsidRPr="00C31D96">
              <w:rPr>
                <w:b/>
                <w:bCs/>
              </w:rPr>
              <w:t>£14,793</w:t>
            </w:r>
          </w:p>
        </w:tc>
        <w:tc>
          <w:tcPr>
            <w:tcW w:w="261" w:type="dxa"/>
            <w:noWrap/>
            <w:hideMark/>
          </w:tcPr>
          <w:p w:rsidR="00C87BF2" w:rsidRPr="00C31D96" w:rsidRDefault="00C87BF2" w:rsidP="00A33C3E">
            <w:pPr>
              <w:rPr>
                <w:b/>
                <w:bCs/>
              </w:rPr>
            </w:pPr>
            <w:r w:rsidRPr="00C31D96">
              <w:rPr>
                <w:b/>
                <w:bCs/>
              </w:rPr>
              <w:t> </w:t>
            </w:r>
          </w:p>
        </w:tc>
        <w:tc>
          <w:tcPr>
            <w:tcW w:w="1129" w:type="dxa"/>
            <w:noWrap/>
            <w:hideMark/>
          </w:tcPr>
          <w:p w:rsidR="00C87BF2" w:rsidRPr="00C31D96" w:rsidRDefault="00C87BF2" w:rsidP="00A33C3E">
            <w:pPr>
              <w:rPr>
                <w:b/>
                <w:bCs/>
              </w:rPr>
            </w:pPr>
            <w:r w:rsidRPr="00C31D96">
              <w:rPr>
                <w:b/>
                <w:bCs/>
              </w:rPr>
              <w:t>£197,353</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976" w:type="dxa"/>
            <w:noWrap/>
            <w:hideMark/>
          </w:tcPr>
          <w:p w:rsidR="00C87BF2" w:rsidRPr="00C31D96" w:rsidRDefault="00C87BF2" w:rsidP="00A33C3E"/>
        </w:tc>
        <w:tc>
          <w:tcPr>
            <w:tcW w:w="261" w:type="dxa"/>
            <w:noWrap/>
            <w:hideMark/>
          </w:tcPr>
          <w:p w:rsidR="00C87BF2" w:rsidRPr="00C31D96" w:rsidRDefault="00C87BF2" w:rsidP="00A33C3E"/>
        </w:tc>
        <w:tc>
          <w:tcPr>
            <w:tcW w:w="1129" w:type="dxa"/>
            <w:noWrap/>
            <w:hideMark/>
          </w:tcPr>
          <w:p w:rsidR="00C87BF2" w:rsidRPr="00C31D96" w:rsidRDefault="00C87BF2" w:rsidP="00A33C3E">
            <w:r w:rsidRPr="00C31D96">
              <w:t> </w:t>
            </w:r>
          </w:p>
        </w:tc>
      </w:tr>
      <w:tr w:rsidR="00C87BF2" w:rsidRPr="00FF3E84" w:rsidTr="00A33C3E">
        <w:trPr>
          <w:trHeight w:val="300"/>
        </w:trPr>
        <w:tc>
          <w:tcPr>
            <w:tcW w:w="3746" w:type="dxa"/>
            <w:noWrap/>
            <w:hideMark/>
          </w:tcPr>
          <w:p w:rsidR="00C87BF2" w:rsidRPr="00C31D96" w:rsidRDefault="00C87BF2" w:rsidP="00A33C3E">
            <w:pPr>
              <w:rPr>
                <w:b/>
                <w:bCs/>
              </w:rPr>
            </w:pPr>
            <w:r w:rsidRPr="00C31D96">
              <w:rPr>
                <w:b/>
                <w:bCs/>
              </w:rPr>
              <w:t>Additional income</w:t>
            </w:r>
          </w:p>
        </w:tc>
        <w:tc>
          <w:tcPr>
            <w:tcW w:w="927" w:type="dxa"/>
            <w:noWrap/>
            <w:hideMark/>
          </w:tcPr>
          <w:p w:rsidR="00C87BF2" w:rsidRPr="00C31D96" w:rsidRDefault="00C87BF2" w:rsidP="00A33C3E">
            <w:pPr>
              <w:rPr>
                <w:b/>
                <w:bCs/>
              </w:rPr>
            </w:pPr>
          </w:p>
        </w:tc>
        <w:tc>
          <w:tcPr>
            <w:tcW w:w="1127" w:type="dxa"/>
            <w:noWrap/>
            <w:hideMark/>
          </w:tcPr>
          <w:p w:rsidR="00C87BF2" w:rsidRPr="00C31D96" w:rsidRDefault="00C87BF2" w:rsidP="00A33C3E"/>
        </w:tc>
        <w:tc>
          <w:tcPr>
            <w:tcW w:w="1003" w:type="dxa"/>
            <w:noWrap/>
            <w:hideMark/>
          </w:tcPr>
          <w:p w:rsidR="00C87BF2" w:rsidRPr="00C31D96" w:rsidRDefault="00C87BF2" w:rsidP="00A33C3E"/>
        </w:tc>
        <w:tc>
          <w:tcPr>
            <w:tcW w:w="875" w:type="dxa"/>
            <w:noWrap/>
            <w:hideMark/>
          </w:tcPr>
          <w:p w:rsidR="00C87BF2" w:rsidRPr="00FF3E84" w:rsidRDefault="00C87BF2" w:rsidP="00A33C3E">
            <w:pPr>
              <w:rPr>
                <w:b/>
                <w:bCs/>
                <w:sz w:val="18"/>
                <w:szCs w:val="18"/>
              </w:rPr>
            </w:pPr>
            <w:r w:rsidRPr="00FF3E84">
              <w:rPr>
                <w:b/>
                <w:bCs/>
                <w:sz w:val="18"/>
                <w:szCs w:val="18"/>
              </w:rPr>
              <w:t>£98,724</w:t>
            </w:r>
          </w:p>
        </w:tc>
        <w:tc>
          <w:tcPr>
            <w:tcW w:w="976" w:type="dxa"/>
            <w:noWrap/>
            <w:hideMark/>
          </w:tcPr>
          <w:p w:rsidR="00C87BF2" w:rsidRPr="00FF3E84" w:rsidRDefault="00C87BF2" w:rsidP="00A33C3E">
            <w:pPr>
              <w:rPr>
                <w:b/>
                <w:bCs/>
                <w:sz w:val="18"/>
                <w:szCs w:val="18"/>
              </w:rPr>
            </w:pPr>
            <w:r w:rsidRPr="00FF3E84">
              <w:rPr>
                <w:b/>
                <w:bCs/>
                <w:sz w:val="18"/>
                <w:szCs w:val="18"/>
              </w:rPr>
              <w:t>£197,449</w:t>
            </w:r>
          </w:p>
        </w:tc>
        <w:tc>
          <w:tcPr>
            <w:tcW w:w="976" w:type="dxa"/>
            <w:noWrap/>
            <w:hideMark/>
          </w:tcPr>
          <w:p w:rsidR="00C87BF2" w:rsidRPr="00FF3E84" w:rsidRDefault="00C87BF2" w:rsidP="00A33C3E">
            <w:pPr>
              <w:rPr>
                <w:b/>
                <w:bCs/>
                <w:sz w:val="18"/>
                <w:szCs w:val="18"/>
              </w:rPr>
            </w:pPr>
            <w:r w:rsidRPr="00FF3E84">
              <w:rPr>
                <w:b/>
                <w:bCs/>
                <w:sz w:val="18"/>
                <w:szCs w:val="18"/>
              </w:rPr>
              <w:t>£296,173</w:t>
            </w:r>
          </w:p>
        </w:tc>
        <w:tc>
          <w:tcPr>
            <w:tcW w:w="976" w:type="dxa"/>
            <w:noWrap/>
            <w:hideMark/>
          </w:tcPr>
          <w:p w:rsidR="00C87BF2" w:rsidRPr="00FF3E84" w:rsidRDefault="00C87BF2" w:rsidP="00A33C3E">
            <w:pPr>
              <w:rPr>
                <w:b/>
                <w:bCs/>
                <w:sz w:val="18"/>
                <w:szCs w:val="18"/>
              </w:rPr>
            </w:pPr>
            <w:r w:rsidRPr="00FF3E84">
              <w:rPr>
                <w:b/>
                <w:bCs/>
                <w:sz w:val="18"/>
                <w:szCs w:val="18"/>
              </w:rPr>
              <w:t>£394,898</w:t>
            </w:r>
          </w:p>
        </w:tc>
        <w:tc>
          <w:tcPr>
            <w:tcW w:w="976" w:type="dxa"/>
            <w:noWrap/>
            <w:hideMark/>
          </w:tcPr>
          <w:p w:rsidR="00C87BF2" w:rsidRPr="00FF3E84" w:rsidRDefault="00C87BF2" w:rsidP="00A33C3E">
            <w:pPr>
              <w:rPr>
                <w:b/>
                <w:bCs/>
                <w:sz w:val="18"/>
                <w:szCs w:val="18"/>
              </w:rPr>
            </w:pPr>
            <w:r w:rsidRPr="00FF3E84">
              <w:rPr>
                <w:b/>
                <w:bCs/>
                <w:sz w:val="18"/>
                <w:szCs w:val="18"/>
              </w:rPr>
              <w:t>£493,622</w:t>
            </w:r>
          </w:p>
        </w:tc>
        <w:tc>
          <w:tcPr>
            <w:tcW w:w="976" w:type="dxa"/>
            <w:noWrap/>
            <w:hideMark/>
          </w:tcPr>
          <w:p w:rsidR="00C87BF2" w:rsidRPr="00FF3E84" w:rsidRDefault="00C87BF2" w:rsidP="00A33C3E">
            <w:pPr>
              <w:rPr>
                <w:b/>
                <w:bCs/>
                <w:sz w:val="18"/>
                <w:szCs w:val="18"/>
              </w:rPr>
            </w:pPr>
            <w:r w:rsidRPr="00FF3E84">
              <w:rPr>
                <w:b/>
                <w:bCs/>
                <w:sz w:val="18"/>
                <w:szCs w:val="18"/>
              </w:rPr>
              <w:t>£592,347</w:t>
            </w:r>
          </w:p>
        </w:tc>
        <w:tc>
          <w:tcPr>
            <w:tcW w:w="261" w:type="dxa"/>
            <w:noWrap/>
            <w:hideMark/>
          </w:tcPr>
          <w:p w:rsidR="00C87BF2" w:rsidRPr="00FF3E84" w:rsidRDefault="00C87BF2" w:rsidP="00A33C3E">
            <w:pPr>
              <w:rPr>
                <w:b/>
                <w:bCs/>
                <w:sz w:val="18"/>
                <w:szCs w:val="18"/>
              </w:rPr>
            </w:pPr>
            <w:r w:rsidRPr="00FF3E84">
              <w:rPr>
                <w:b/>
                <w:bCs/>
                <w:sz w:val="18"/>
                <w:szCs w:val="18"/>
              </w:rPr>
              <w:t> </w:t>
            </w:r>
          </w:p>
        </w:tc>
        <w:tc>
          <w:tcPr>
            <w:tcW w:w="1129" w:type="dxa"/>
            <w:noWrap/>
            <w:hideMark/>
          </w:tcPr>
          <w:p w:rsidR="00C87BF2" w:rsidRPr="00FF3E84" w:rsidRDefault="00C87BF2" w:rsidP="00A33C3E">
            <w:pPr>
              <w:rPr>
                <w:b/>
                <w:bCs/>
                <w:sz w:val="18"/>
                <w:szCs w:val="18"/>
              </w:rPr>
            </w:pPr>
            <w:r w:rsidRPr="00FF3E84">
              <w:rPr>
                <w:b/>
                <w:bCs/>
                <w:sz w:val="18"/>
                <w:szCs w:val="18"/>
              </w:rPr>
              <w:t>£1,058,931</w:t>
            </w:r>
          </w:p>
        </w:tc>
      </w:tr>
      <w:tr w:rsidR="00C87BF2" w:rsidRPr="00C31D96" w:rsidTr="00A33C3E">
        <w:trPr>
          <w:trHeight w:val="300"/>
        </w:trPr>
        <w:tc>
          <w:tcPr>
            <w:tcW w:w="3746" w:type="dxa"/>
            <w:noWrap/>
            <w:hideMark/>
          </w:tcPr>
          <w:p w:rsidR="00C87BF2" w:rsidRPr="00C31D96" w:rsidRDefault="00C87BF2" w:rsidP="00A33C3E">
            <w:r w:rsidRPr="00C31D96">
              <w:t> </w:t>
            </w:r>
          </w:p>
        </w:tc>
        <w:tc>
          <w:tcPr>
            <w:tcW w:w="927" w:type="dxa"/>
            <w:noWrap/>
            <w:hideMark/>
          </w:tcPr>
          <w:p w:rsidR="00C87BF2" w:rsidRPr="00C31D96" w:rsidRDefault="00C87BF2" w:rsidP="00A33C3E">
            <w:r w:rsidRPr="00C31D96">
              <w:t> </w:t>
            </w:r>
          </w:p>
        </w:tc>
        <w:tc>
          <w:tcPr>
            <w:tcW w:w="1127" w:type="dxa"/>
            <w:noWrap/>
            <w:hideMark/>
          </w:tcPr>
          <w:p w:rsidR="00C87BF2" w:rsidRPr="00C31D96" w:rsidRDefault="00C87BF2" w:rsidP="00A33C3E">
            <w:r w:rsidRPr="00C31D96">
              <w:t> </w:t>
            </w:r>
          </w:p>
        </w:tc>
        <w:tc>
          <w:tcPr>
            <w:tcW w:w="1003" w:type="dxa"/>
            <w:noWrap/>
            <w:hideMark/>
          </w:tcPr>
          <w:p w:rsidR="00C87BF2" w:rsidRPr="00C31D96" w:rsidRDefault="00C87BF2" w:rsidP="00A33C3E">
            <w:r w:rsidRPr="00C31D96">
              <w:t> </w:t>
            </w:r>
          </w:p>
        </w:tc>
        <w:tc>
          <w:tcPr>
            <w:tcW w:w="875"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976" w:type="dxa"/>
            <w:noWrap/>
            <w:hideMark/>
          </w:tcPr>
          <w:p w:rsidR="00C87BF2" w:rsidRPr="00C31D96" w:rsidRDefault="00C87BF2" w:rsidP="00A33C3E">
            <w:r w:rsidRPr="00C31D96">
              <w:t> </w:t>
            </w:r>
          </w:p>
        </w:tc>
        <w:tc>
          <w:tcPr>
            <w:tcW w:w="261" w:type="dxa"/>
            <w:noWrap/>
            <w:hideMark/>
          </w:tcPr>
          <w:p w:rsidR="00C87BF2" w:rsidRPr="00C31D96" w:rsidRDefault="00C87BF2" w:rsidP="00A33C3E">
            <w:r w:rsidRPr="00C31D96">
              <w:t> </w:t>
            </w:r>
          </w:p>
        </w:tc>
        <w:tc>
          <w:tcPr>
            <w:tcW w:w="1129" w:type="dxa"/>
            <w:noWrap/>
            <w:hideMark/>
          </w:tcPr>
          <w:p w:rsidR="00C87BF2" w:rsidRPr="00C31D96" w:rsidRDefault="00C87BF2" w:rsidP="00A33C3E">
            <w:r w:rsidRPr="00C31D96">
              <w:t> </w:t>
            </w:r>
          </w:p>
        </w:tc>
      </w:tr>
    </w:tbl>
    <w:p w:rsidR="00C87BF2" w:rsidRDefault="00C87BF2"/>
    <w:sectPr w:rsidR="00C87BF2" w:rsidSect="00C86C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2A1" w:rsidRDefault="004E12A1" w:rsidP="004E12A1">
      <w:pPr>
        <w:spacing w:after="0" w:line="240" w:lineRule="auto"/>
      </w:pPr>
      <w:r>
        <w:separator/>
      </w:r>
    </w:p>
  </w:endnote>
  <w:endnote w:type="continuationSeparator" w:id="0">
    <w:p w:rsidR="004E12A1" w:rsidRDefault="004E12A1" w:rsidP="004E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2A1" w:rsidRDefault="004E12A1" w:rsidP="004E12A1">
      <w:pPr>
        <w:spacing w:after="0" w:line="240" w:lineRule="auto"/>
      </w:pPr>
      <w:r>
        <w:separator/>
      </w:r>
    </w:p>
  </w:footnote>
  <w:footnote w:type="continuationSeparator" w:id="0">
    <w:p w:rsidR="004E12A1" w:rsidRDefault="004E12A1" w:rsidP="004E12A1">
      <w:pPr>
        <w:spacing w:after="0" w:line="240" w:lineRule="auto"/>
      </w:pPr>
      <w:r>
        <w:continuationSeparator/>
      </w:r>
    </w:p>
  </w:footnote>
  <w:footnote w:id="1">
    <w:p w:rsidR="00852040" w:rsidRDefault="00852040">
      <w:pPr>
        <w:pStyle w:val="FootnoteText"/>
      </w:pPr>
      <w:r>
        <w:rPr>
          <w:rStyle w:val="FootnoteReference"/>
        </w:rPr>
        <w:footnoteRef/>
      </w:r>
      <w:r>
        <w:t xml:space="preserve"> East Lothian Council day centres – i.e. Fisherrow, Port Seton and </w:t>
      </w:r>
      <w:proofErr w:type="spellStart"/>
      <w:r>
        <w:t>Tynebank</w:t>
      </w:r>
      <w:proofErr w:type="spellEnd"/>
      <w:r>
        <w:t xml:space="preserve"> Resource Centres </w:t>
      </w:r>
    </w:p>
  </w:footnote>
  <w:footnote w:id="2">
    <w:p w:rsidR="00852040" w:rsidRDefault="00852040">
      <w:pPr>
        <w:pStyle w:val="FootnoteText"/>
      </w:pPr>
      <w:r>
        <w:rPr>
          <w:rStyle w:val="FootnoteReference"/>
        </w:rPr>
        <w:footnoteRef/>
      </w:r>
      <w:r>
        <w:t xml:space="preserve"> East Lothian Council day centres, i.e. Fisherrow, Port Seton and </w:t>
      </w:r>
      <w:proofErr w:type="spellStart"/>
      <w:r>
        <w:t>Tynebank</w:t>
      </w:r>
      <w:proofErr w:type="spellEnd"/>
      <w:r>
        <w:t xml:space="preserve"> Resource Centre </w:t>
      </w:r>
    </w:p>
  </w:footnote>
  <w:footnote w:id="3">
    <w:p w:rsidR="00852040" w:rsidRDefault="00852040">
      <w:pPr>
        <w:pStyle w:val="FootnoteText"/>
      </w:pPr>
      <w:r>
        <w:rPr>
          <w:rStyle w:val="FootnoteReference"/>
        </w:rPr>
        <w:footnoteRef/>
      </w:r>
      <w:r>
        <w:t xml:space="preserve"> As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76F"/>
    <w:multiLevelType w:val="hybridMultilevel"/>
    <w:tmpl w:val="C1C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0D5"/>
    <w:multiLevelType w:val="hybridMultilevel"/>
    <w:tmpl w:val="3BA4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03724"/>
    <w:multiLevelType w:val="hybridMultilevel"/>
    <w:tmpl w:val="33FC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F2"/>
    <w:rsid w:val="001133CA"/>
    <w:rsid w:val="002D4B71"/>
    <w:rsid w:val="004E12A1"/>
    <w:rsid w:val="00520869"/>
    <w:rsid w:val="006A1025"/>
    <w:rsid w:val="008224DF"/>
    <w:rsid w:val="00852040"/>
    <w:rsid w:val="00B84C7A"/>
    <w:rsid w:val="00BA59E3"/>
    <w:rsid w:val="00C31826"/>
    <w:rsid w:val="00C86C56"/>
    <w:rsid w:val="00C87BF2"/>
    <w:rsid w:val="00FA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FE80"/>
  <w15:chartTrackingRefBased/>
  <w15:docId w15:val="{BF19D15D-C08E-4B19-991A-E0D7777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56"/>
    <w:pPr>
      <w:ind w:left="720"/>
      <w:contextualSpacing/>
    </w:pPr>
  </w:style>
  <w:style w:type="paragraph" w:styleId="Header">
    <w:name w:val="header"/>
    <w:basedOn w:val="Normal"/>
    <w:link w:val="HeaderChar"/>
    <w:uiPriority w:val="99"/>
    <w:unhideWhenUsed/>
    <w:rsid w:val="004E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A1"/>
  </w:style>
  <w:style w:type="paragraph" w:styleId="Footer">
    <w:name w:val="footer"/>
    <w:basedOn w:val="Normal"/>
    <w:link w:val="FooterChar"/>
    <w:uiPriority w:val="99"/>
    <w:unhideWhenUsed/>
    <w:rsid w:val="004E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A1"/>
  </w:style>
  <w:style w:type="paragraph" w:styleId="FootnoteText">
    <w:name w:val="footnote text"/>
    <w:basedOn w:val="Normal"/>
    <w:link w:val="FootnoteTextChar"/>
    <w:uiPriority w:val="99"/>
    <w:semiHidden/>
    <w:unhideWhenUsed/>
    <w:rsid w:val="00852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040"/>
    <w:rPr>
      <w:sz w:val="20"/>
      <w:szCs w:val="20"/>
    </w:rPr>
  </w:style>
  <w:style w:type="character" w:styleId="FootnoteReference">
    <w:name w:val="footnote reference"/>
    <w:basedOn w:val="DefaultParagraphFont"/>
    <w:uiPriority w:val="99"/>
    <w:semiHidden/>
    <w:unhideWhenUsed/>
    <w:rsid w:val="00852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8392-60B9-4ECD-966D-0297AD86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Bryan</dc:creator>
  <cp:keywords/>
  <dc:description/>
  <cp:lastModifiedBy>Goodwin, Claire</cp:lastModifiedBy>
  <cp:revision>5</cp:revision>
  <dcterms:created xsi:type="dcterms:W3CDTF">2018-01-30T12:13:00Z</dcterms:created>
  <dcterms:modified xsi:type="dcterms:W3CDTF">2018-02-01T13:12:00Z</dcterms:modified>
</cp:coreProperties>
</file>