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13153615"/>
        <w:docPartObj>
          <w:docPartGallery w:val="Cover Pages"/>
          <w:docPartUnique/>
        </w:docPartObj>
      </w:sdtPr>
      <w:sdtContent>
        <w:p w:rsidR="00095534" w:rsidRDefault="00095534"/>
        <w:p w:rsidR="00095534" w:rsidRDefault="004E0DC1">
          <w:r w:rsidRPr="004E0DC1">
            <w:rPr>
              <w:noProof/>
              <w:lang w:val="en-US" w:eastAsia="zh-TW"/>
            </w:rPr>
            <w:pict>
              <v:group id="_x0000_s1026" style="position:absolute;margin-left:0;margin-top:0;width:611.95pt;height:9in;z-index:251660288;mso-width-percent:1000;mso-height-percent:1000;mso-position-horizontal:center;mso-position-horizontal-relative:page;mso-position-vertical:center;mso-position-vertical-relative:margin;mso-width-percent:1000;mso-height-percent:1000;mso-height-relative:margin" coordorigin=",1440" coordsize="12239,12960" o:allowincell="f">
                <v:group id="_x0000_s1027" style="position:absolute;top:9661;width:12239;height:4739;mso-width-percent:1000;mso-height-percent:300;mso-position-horizontal:center;mso-position-horizontal-relative:margin;mso-position-vertical:bottom;mso-position-vertical-relative:margin;mso-width-percent:1000;mso-height-percent:300" coordorigin="-6,3399" coordsize="12197,4253">
                  <v:group id="_x0000_s1028" style="position:absolute;left:-6;top:3717;width:12189;height:3550" coordorigin="18,7468" coordsize="12189,3550">
                    <v:shape id="_x0000_s1029" style="position:absolute;left:18;top:7837;width:7132;height:2863;mso-width-relative:page;mso-height-relative:page" coordsize="7132,2863" path="m,l17,2863,7132,2578r,-2378l,xe" fillcolor="#a7bfde [1620]" stroked="f">
                      <v:fill opacity=".5"/>
                      <v:path arrowok="t"/>
                    </v:shape>
                    <v:shape id="_x0000_s1030" style="position:absolute;left:7150;top:7468;width:3466;height:3550;mso-width-relative:page;mso-height-relative:page" coordsize="3466,3550" path="m,569l,2930r3466,620l3466,,,569xe" fillcolor="#d3dfee [820]" stroked="f">
                      <v:fill opacity=".5"/>
                      <v:path arrowok="t"/>
                    </v:shape>
                    <v:shape id="_x0000_s1031" style="position:absolute;left:10616;top:7468;width:1591;height:3550;mso-width-relative:page;mso-height-relative:page" coordsize="1591,3550" path="m,l,3550,1591,2746r,-2009l,xe" fillcolor="#a7bfde [1620]" stroked="f">
                      <v:fill opacity=".5"/>
                      <v:path arrowok="t"/>
                    </v:shape>
                  </v:group>
                  <v:shape id="_x0000_s1032" style="position:absolute;left:8071;top:4069;width:4120;height:2913;mso-width-relative:page;mso-height-relative:page" coordsize="4120,2913" path="m1,251l,2662r4120,251l4120,,1,251xe" fillcolor="#d8d8d8 [2732]" stroked="f">
                    <v:path arrowok="t"/>
                  </v:shape>
                  <v:shape id="_x0000_s1033" style="position:absolute;left:4104;top:3399;width:3985;height:4236;mso-width-relative:page;mso-height-relative:page" coordsize="3985,4236" path="m,l,4236,3985,3349r,-2428l,xe" fillcolor="#bfbfbf [2412]" stroked="f">
                    <v:path arrowok="t"/>
                  </v:shape>
                  <v:shape id="_x0000_s1034" style="position:absolute;left:18;top:3399;width:4086;height:4253;mso-width-relative:page;mso-height-relative:page" coordsize="4086,4253" path="m4086,r-2,4253l,3198,,1072,4086,xe" fillcolor="#d8d8d8 [2732]" stroked="f">
                    <v:path arrowok="t"/>
                  </v:shape>
                  <v:shape id="_x0000_s1035" style="position:absolute;left:17;top:3617;width:2076;height:3851;mso-width-relative:page;mso-height-relative:page" coordsize="2076,3851" path="m,921l2060,r16,3851l,2981,,921xe" fillcolor="#d3dfee [820]" stroked="f">
                    <v:fill opacity="45875f"/>
                    <v:path arrowok="t"/>
                  </v:shape>
                  <v:shape id="_x0000_s1036" style="position:absolute;left:2077;top:3617;width:6011;height:3835;mso-width-relative:page;mso-height-relative:page" coordsize="6011,3835" path="m,l17,3835,6011,2629r,-1390l,xe" fillcolor="#a7bfde [1620]" stroked="f">
                    <v:fill opacity="45875f"/>
                    <v:path arrowok="t"/>
                  </v:shape>
                  <v:shape id="_x0000_s1037" style="position:absolute;left:8088;top:3835;width:4102;height:3432;mso-width-relative:page;mso-height-relative:page" coordsize="4102,3432" path="m,1038l,2411,4102,3432,4102,,,1038xe" fillcolor="#d3dfee [820]" stroked="f">
                    <v:fill opacity="45875f"/>
                    <v:path arrowok="t"/>
                  </v:shape>
                </v:group>
                <v:rect id="_x0000_s1038" style="position:absolute;left:1800;top:1440;width:8638;height:2849;mso-width-percent:1000;mso-position-horizontal:center;mso-position-horizontal-relative:margin;mso-position-vertical:top;mso-position-vertical-relative:margin;mso-width-percent:1000;mso-width-relative:margin;mso-height-relative:margin" filled="f" stroked="f">
                  <v:textbox style="mso-next-textbox:#_x0000_s1038;mso-fit-shape-to-text:t">
                    <w:txbxContent>
                      <w:p w:rsidR="00433285" w:rsidRDefault="00433285">
                        <w:pPr>
                          <w:spacing w:after="0"/>
                          <w:rPr>
                            <w:b/>
                            <w:bCs/>
                            <w:color w:val="808080" w:themeColor="text1" w:themeTint="7F"/>
                            <w:sz w:val="32"/>
                            <w:szCs w:val="32"/>
                          </w:rPr>
                        </w:pPr>
                        <w:r w:rsidRPr="008619CE">
                          <w:rPr>
                            <w:b/>
                            <w:bCs/>
                            <w:noProof/>
                            <w:color w:val="808080" w:themeColor="text1" w:themeTint="7F"/>
                            <w:sz w:val="32"/>
                            <w:szCs w:val="32"/>
                            <w:lang w:eastAsia="en-GB"/>
                          </w:rPr>
                          <w:drawing>
                            <wp:inline distT="0" distB="0" distL="0" distR="0">
                              <wp:extent cx="5152390" cy="1819275"/>
                              <wp:effectExtent l="19050" t="0" r="0" b="0"/>
                              <wp:docPr id="1" name="Picture 0" descr="HSCP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CP_logo.jpg"/>
                                      <pic:cNvPicPr/>
                                    </pic:nvPicPr>
                                    <pic:blipFill>
                                      <a:blip r:embed="rId9"/>
                                      <a:stretch>
                                        <a:fillRect/>
                                      </a:stretch>
                                    </pic:blipFill>
                                    <pic:spPr>
                                      <a:xfrm>
                                        <a:off x="0" y="0"/>
                                        <a:ext cx="5152390" cy="1819275"/>
                                      </a:xfrm>
                                      <a:prstGeom prst="rect">
                                        <a:avLst/>
                                      </a:prstGeom>
                                    </pic:spPr>
                                  </pic:pic>
                                </a:graphicData>
                              </a:graphic>
                            </wp:inline>
                          </w:drawing>
                        </w:r>
                      </w:p>
                    </w:txbxContent>
                  </v:textbox>
                </v:rect>
                <v:rect id="_x0000_s1039" style="position:absolute;left:6494;top:11161;width:4998;height:1571;mso-position-horizontal-relative:margin;mso-position-vertical-relative:margin" filled="f" stroked="f">
                  <v:textbox style="mso-next-textbox:#_x0000_s1039;mso-fit-shape-to-text:t">
                    <w:txbxContent>
                      <w:p w:rsidR="00433285" w:rsidRDefault="00433285">
                        <w:pPr>
                          <w:jc w:val="right"/>
                          <w:rPr>
                            <w:sz w:val="96"/>
                            <w:szCs w:val="96"/>
                          </w:rPr>
                        </w:pPr>
                        <w:r>
                          <w:rPr>
                            <w:sz w:val="96"/>
                            <w:szCs w:val="96"/>
                            <w:lang w:val="en-US"/>
                          </w:rPr>
                          <w:t>2017-18</w:t>
                        </w:r>
                      </w:p>
                    </w:txbxContent>
                  </v:textbox>
                </v:rect>
                <v:rect id="_x0000_s1040" style="position:absolute;left:1800;top:2294;width:8638;height:7268;mso-width-percent:1000;mso-position-horizontal:center;mso-position-horizontal-relative:margin;mso-position-vertical-relative:margin;mso-width-percent:1000;mso-width-relative:margin;mso-height-relative:margin;v-text-anchor:bottom" filled="f" stroked="f">
                  <v:textbox style="mso-next-textbox:#_x0000_s1040">
                    <w:txbxContent>
                      <w:sdt>
                        <w:sdtPr>
                          <w:rPr>
                            <w:b/>
                            <w:bCs/>
                            <w:color w:val="1F497D" w:themeColor="text2"/>
                            <w:sz w:val="72"/>
                            <w:szCs w:val="72"/>
                          </w:rPr>
                          <w:alias w:val="Title"/>
                          <w:id w:val="15866532"/>
                          <w:dataBinding w:prefixMappings="xmlns:ns0='http://schemas.openxmlformats.org/package/2006/metadata/core-properties' xmlns:ns1='http://purl.org/dc/elements/1.1/'" w:xpath="/ns0:coreProperties[1]/ns1:title[1]" w:storeItemID="{6C3C8BC8-F283-45AE-878A-BAB7291924A1}"/>
                          <w:text/>
                        </w:sdtPr>
                        <w:sdtContent>
                          <w:p w:rsidR="00433285" w:rsidRDefault="00433285">
                            <w:pPr>
                              <w:spacing w:after="0"/>
                              <w:rPr>
                                <w:b/>
                                <w:bCs/>
                                <w:color w:val="1F497D" w:themeColor="text2"/>
                                <w:sz w:val="72"/>
                                <w:szCs w:val="72"/>
                              </w:rPr>
                            </w:pPr>
                            <w:r>
                              <w:rPr>
                                <w:b/>
                                <w:bCs/>
                                <w:color w:val="1F497D" w:themeColor="text2"/>
                                <w:sz w:val="72"/>
                                <w:szCs w:val="72"/>
                              </w:rPr>
                              <w:t>Draft Engagement Strategy</w:t>
                            </w:r>
                          </w:p>
                        </w:sdtContent>
                      </w:sdt>
                      <w:p w:rsidR="00433285" w:rsidRDefault="00433285">
                        <w:pPr>
                          <w:rPr>
                            <w:b/>
                            <w:bCs/>
                            <w:color w:val="4F81BD" w:themeColor="accent1"/>
                            <w:sz w:val="40"/>
                            <w:szCs w:val="40"/>
                          </w:rPr>
                        </w:pPr>
                        <w:r>
                          <w:rPr>
                            <w:b/>
                            <w:bCs/>
                            <w:color w:val="4F81BD" w:themeColor="accent1"/>
                            <w:sz w:val="40"/>
                            <w:szCs w:val="40"/>
                          </w:rPr>
                          <w:t>Consultation period – 3 March to 31 March 2017</w:t>
                        </w:r>
                      </w:p>
                      <w:p w:rsidR="00433285" w:rsidRDefault="00433285">
                        <w:pPr>
                          <w:rPr>
                            <w:b/>
                            <w:bCs/>
                            <w:color w:val="808080" w:themeColor="text1" w:themeTint="7F"/>
                            <w:sz w:val="32"/>
                            <w:szCs w:val="32"/>
                          </w:rPr>
                        </w:pPr>
                      </w:p>
                    </w:txbxContent>
                  </v:textbox>
                </v:rect>
                <w10:wrap anchorx="page" anchory="margin"/>
              </v:group>
            </w:pict>
          </w:r>
        </w:p>
        <w:p w:rsidR="00095534" w:rsidRDefault="00095534">
          <w:r>
            <w:br w:type="page"/>
          </w:r>
        </w:p>
      </w:sdtContent>
    </w:sdt>
    <w:tbl>
      <w:tblPr>
        <w:tblStyle w:val="LightShading-Accent1"/>
        <w:tblW w:w="0" w:type="auto"/>
        <w:tblLook w:val="04A0"/>
      </w:tblPr>
      <w:tblGrid>
        <w:gridCol w:w="7479"/>
        <w:gridCol w:w="1763"/>
      </w:tblGrid>
      <w:tr w:rsidR="00EE28F2" w:rsidTr="00433285">
        <w:trPr>
          <w:cnfStyle w:val="100000000000"/>
        </w:trPr>
        <w:tc>
          <w:tcPr>
            <w:cnfStyle w:val="001000000000"/>
            <w:tcW w:w="7479" w:type="dxa"/>
          </w:tcPr>
          <w:p w:rsidR="00EE28F2" w:rsidRDefault="00EE28F2" w:rsidP="00433285">
            <w:pPr>
              <w:pStyle w:val="Heading1"/>
              <w:outlineLvl w:val="0"/>
            </w:pPr>
            <w:r>
              <w:t>Contents</w:t>
            </w:r>
          </w:p>
        </w:tc>
        <w:tc>
          <w:tcPr>
            <w:tcW w:w="1763" w:type="dxa"/>
          </w:tcPr>
          <w:p w:rsidR="00EE28F2" w:rsidRDefault="00EE28F2">
            <w:pPr>
              <w:cnfStyle w:val="100000000000"/>
            </w:pPr>
          </w:p>
        </w:tc>
      </w:tr>
      <w:tr w:rsidR="00EE28F2" w:rsidTr="00433285">
        <w:trPr>
          <w:cnfStyle w:val="000000100000"/>
        </w:trPr>
        <w:tc>
          <w:tcPr>
            <w:cnfStyle w:val="001000000000"/>
            <w:tcW w:w="7479" w:type="dxa"/>
          </w:tcPr>
          <w:p w:rsidR="00EE28F2" w:rsidRDefault="00EE28F2"/>
        </w:tc>
        <w:tc>
          <w:tcPr>
            <w:tcW w:w="1763" w:type="dxa"/>
          </w:tcPr>
          <w:p w:rsidR="00EE28F2" w:rsidRDefault="00EE28F2" w:rsidP="00433285">
            <w:pPr>
              <w:pStyle w:val="Heading2"/>
              <w:jc w:val="center"/>
              <w:outlineLvl w:val="1"/>
              <w:cnfStyle w:val="000000100000"/>
            </w:pPr>
            <w:r>
              <w:t>Page</w:t>
            </w:r>
          </w:p>
        </w:tc>
      </w:tr>
      <w:tr w:rsidR="00EE28F2" w:rsidTr="00433285">
        <w:tc>
          <w:tcPr>
            <w:cnfStyle w:val="001000000000"/>
            <w:tcW w:w="7479" w:type="dxa"/>
          </w:tcPr>
          <w:p w:rsidR="00EE28F2" w:rsidRDefault="00EE28F2" w:rsidP="00433285">
            <w:pPr>
              <w:pStyle w:val="Heading2"/>
              <w:outlineLvl w:val="1"/>
            </w:pPr>
            <w:r>
              <w:t>Introduction</w:t>
            </w:r>
          </w:p>
        </w:tc>
        <w:tc>
          <w:tcPr>
            <w:tcW w:w="1763" w:type="dxa"/>
          </w:tcPr>
          <w:p w:rsidR="00EE28F2" w:rsidRDefault="00EE28F2" w:rsidP="00433285">
            <w:pPr>
              <w:pStyle w:val="Heading2"/>
              <w:jc w:val="center"/>
              <w:outlineLvl w:val="1"/>
              <w:cnfStyle w:val="000000000000"/>
            </w:pPr>
            <w:r>
              <w:t>3</w:t>
            </w:r>
          </w:p>
        </w:tc>
      </w:tr>
      <w:tr w:rsidR="00EE28F2" w:rsidTr="00433285">
        <w:trPr>
          <w:cnfStyle w:val="000000100000"/>
        </w:trPr>
        <w:tc>
          <w:tcPr>
            <w:cnfStyle w:val="001000000000"/>
            <w:tcW w:w="7479" w:type="dxa"/>
          </w:tcPr>
          <w:p w:rsidR="00EE28F2" w:rsidRDefault="00EE28F2" w:rsidP="00433285">
            <w:pPr>
              <w:pStyle w:val="Heading2"/>
              <w:outlineLvl w:val="1"/>
            </w:pPr>
            <w:r>
              <w:t>What does engagement mean?</w:t>
            </w:r>
          </w:p>
        </w:tc>
        <w:tc>
          <w:tcPr>
            <w:tcW w:w="1763" w:type="dxa"/>
          </w:tcPr>
          <w:p w:rsidR="00EE28F2" w:rsidRDefault="00EE28F2" w:rsidP="00433285">
            <w:pPr>
              <w:pStyle w:val="Heading2"/>
              <w:jc w:val="center"/>
              <w:outlineLvl w:val="1"/>
              <w:cnfStyle w:val="000000100000"/>
            </w:pPr>
            <w:r>
              <w:t>3</w:t>
            </w:r>
          </w:p>
        </w:tc>
      </w:tr>
      <w:tr w:rsidR="00EE28F2" w:rsidTr="00433285">
        <w:tc>
          <w:tcPr>
            <w:cnfStyle w:val="001000000000"/>
            <w:tcW w:w="7479" w:type="dxa"/>
          </w:tcPr>
          <w:p w:rsidR="00EE28F2" w:rsidRDefault="00EE28F2" w:rsidP="00433285">
            <w:pPr>
              <w:pStyle w:val="Heading2"/>
              <w:outlineLvl w:val="1"/>
            </w:pPr>
            <w:r>
              <w:t>Participation, consultation and co-production</w:t>
            </w:r>
          </w:p>
        </w:tc>
        <w:tc>
          <w:tcPr>
            <w:tcW w:w="1763" w:type="dxa"/>
          </w:tcPr>
          <w:p w:rsidR="00EE28F2" w:rsidRDefault="00EE28F2" w:rsidP="00433285">
            <w:pPr>
              <w:pStyle w:val="Heading2"/>
              <w:jc w:val="center"/>
              <w:outlineLvl w:val="1"/>
              <w:cnfStyle w:val="000000000000"/>
            </w:pPr>
            <w:r>
              <w:t>3</w:t>
            </w:r>
          </w:p>
        </w:tc>
      </w:tr>
      <w:tr w:rsidR="00EE28F2" w:rsidTr="00433285">
        <w:trPr>
          <w:cnfStyle w:val="000000100000"/>
        </w:trPr>
        <w:tc>
          <w:tcPr>
            <w:cnfStyle w:val="001000000000"/>
            <w:tcW w:w="7479" w:type="dxa"/>
          </w:tcPr>
          <w:p w:rsidR="00EE28F2" w:rsidRDefault="00EE28F2" w:rsidP="00433285">
            <w:pPr>
              <w:pStyle w:val="Heading2"/>
              <w:outlineLvl w:val="1"/>
            </w:pPr>
            <w:r>
              <w:t>Why is engagement key to all our work?</w:t>
            </w:r>
          </w:p>
        </w:tc>
        <w:tc>
          <w:tcPr>
            <w:tcW w:w="1763" w:type="dxa"/>
          </w:tcPr>
          <w:p w:rsidR="00EE28F2" w:rsidRDefault="00EE28F2" w:rsidP="00433285">
            <w:pPr>
              <w:pStyle w:val="Heading2"/>
              <w:jc w:val="center"/>
              <w:outlineLvl w:val="1"/>
              <w:cnfStyle w:val="000000100000"/>
            </w:pPr>
            <w:r>
              <w:t>4</w:t>
            </w:r>
          </w:p>
        </w:tc>
      </w:tr>
      <w:tr w:rsidR="00EE28F2" w:rsidTr="00433285">
        <w:tc>
          <w:tcPr>
            <w:cnfStyle w:val="001000000000"/>
            <w:tcW w:w="7479" w:type="dxa"/>
          </w:tcPr>
          <w:p w:rsidR="00EE28F2" w:rsidRDefault="00EE28F2" w:rsidP="00433285">
            <w:pPr>
              <w:pStyle w:val="Heading2"/>
              <w:outlineLvl w:val="1"/>
            </w:pPr>
            <w:r>
              <w:t>E</w:t>
            </w:r>
            <w:r w:rsidR="00433285">
              <w:t>ast Lothian Health and Social Care Partnership Strategic Aims</w:t>
            </w:r>
          </w:p>
        </w:tc>
        <w:tc>
          <w:tcPr>
            <w:tcW w:w="1763" w:type="dxa"/>
          </w:tcPr>
          <w:p w:rsidR="00EE28F2" w:rsidRDefault="00433285" w:rsidP="00433285">
            <w:pPr>
              <w:pStyle w:val="Heading2"/>
              <w:jc w:val="center"/>
              <w:outlineLvl w:val="1"/>
              <w:cnfStyle w:val="000000000000"/>
            </w:pPr>
            <w:r>
              <w:t>5</w:t>
            </w:r>
          </w:p>
        </w:tc>
      </w:tr>
      <w:tr w:rsidR="00433285" w:rsidTr="00433285">
        <w:trPr>
          <w:cnfStyle w:val="000000100000"/>
        </w:trPr>
        <w:tc>
          <w:tcPr>
            <w:cnfStyle w:val="001000000000"/>
            <w:tcW w:w="7479" w:type="dxa"/>
          </w:tcPr>
          <w:p w:rsidR="00433285" w:rsidRDefault="00433285" w:rsidP="00433285">
            <w:pPr>
              <w:pStyle w:val="Heading2"/>
              <w:outlineLvl w:val="1"/>
            </w:pPr>
            <w:r>
              <w:t>National Standards for Community Engagement</w:t>
            </w:r>
          </w:p>
        </w:tc>
        <w:tc>
          <w:tcPr>
            <w:tcW w:w="1763" w:type="dxa"/>
          </w:tcPr>
          <w:p w:rsidR="00433285" w:rsidRDefault="00433285" w:rsidP="00433285">
            <w:pPr>
              <w:pStyle w:val="Heading2"/>
              <w:jc w:val="center"/>
              <w:outlineLvl w:val="1"/>
              <w:cnfStyle w:val="000000100000"/>
            </w:pPr>
          </w:p>
        </w:tc>
      </w:tr>
      <w:tr w:rsidR="00EE28F2" w:rsidTr="00433285">
        <w:tc>
          <w:tcPr>
            <w:cnfStyle w:val="001000000000"/>
            <w:tcW w:w="7479" w:type="dxa"/>
          </w:tcPr>
          <w:p w:rsidR="00EE28F2" w:rsidRDefault="00433285" w:rsidP="00433285">
            <w:pPr>
              <w:pStyle w:val="Heading2"/>
              <w:outlineLvl w:val="1"/>
            </w:pPr>
            <w:r>
              <w:t>National Standard: Inclusion</w:t>
            </w:r>
          </w:p>
        </w:tc>
        <w:tc>
          <w:tcPr>
            <w:tcW w:w="1763" w:type="dxa"/>
          </w:tcPr>
          <w:p w:rsidR="00EE28F2" w:rsidRDefault="00433285" w:rsidP="00433285">
            <w:pPr>
              <w:pStyle w:val="Heading2"/>
              <w:jc w:val="center"/>
              <w:outlineLvl w:val="1"/>
              <w:cnfStyle w:val="000000000000"/>
            </w:pPr>
            <w:r>
              <w:t>6</w:t>
            </w:r>
          </w:p>
        </w:tc>
      </w:tr>
      <w:tr w:rsidR="00EE28F2" w:rsidTr="00433285">
        <w:trPr>
          <w:cnfStyle w:val="000000100000"/>
        </w:trPr>
        <w:tc>
          <w:tcPr>
            <w:cnfStyle w:val="001000000000"/>
            <w:tcW w:w="7479" w:type="dxa"/>
          </w:tcPr>
          <w:p w:rsidR="00EE28F2" w:rsidRDefault="00433285" w:rsidP="00433285">
            <w:pPr>
              <w:pStyle w:val="Heading2"/>
              <w:outlineLvl w:val="1"/>
            </w:pPr>
            <w:r>
              <w:t>National Standard: Support</w:t>
            </w:r>
          </w:p>
        </w:tc>
        <w:tc>
          <w:tcPr>
            <w:tcW w:w="1763" w:type="dxa"/>
          </w:tcPr>
          <w:p w:rsidR="00EE28F2" w:rsidRDefault="00433285" w:rsidP="00433285">
            <w:pPr>
              <w:pStyle w:val="Heading2"/>
              <w:jc w:val="center"/>
              <w:outlineLvl w:val="1"/>
              <w:cnfStyle w:val="000000100000"/>
            </w:pPr>
            <w:r>
              <w:t>7</w:t>
            </w:r>
          </w:p>
        </w:tc>
      </w:tr>
      <w:tr w:rsidR="00EE28F2" w:rsidTr="00433285">
        <w:tc>
          <w:tcPr>
            <w:cnfStyle w:val="001000000000"/>
            <w:tcW w:w="7479" w:type="dxa"/>
          </w:tcPr>
          <w:p w:rsidR="00EE28F2" w:rsidRDefault="00433285" w:rsidP="00433285">
            <w:pPr>
              <w:pStyle w:val="Heading2"/>
              <w:outlineLvl w:val="1"/>
            </w:pPr>
            <w:r>
              <w:t>National Standard: Planning</w:t>
            </w:r>
          </w:p>
        </w:tc>
        <w:tc>
          <w:tcPr>
            <w:tcW w:w="1763" w:type="dxa"/>
          </w:tcPr>
          <w:p w:rsidR="00EE28F2" w:rsidRDefault="00433285" w:rsidP="00433285">
            <w:pPr>
              <w:pStyle w:val="Heading2"/>
              <w:jc w:val="center"/>
              <w:outlineLvl w:val="1"/>
              <w:cnfStyle w:val="000000000000"/>
            </w:pPr>
            <w:r>
              <w:t>7</w:t>
            </w:r>
          </w:p>
        </w:tc>
      </w:tr>
      <w:tr w:rsidR="00EE28F2" w:rsidTr="00433285">
        <w:trPr>
          <w:cnfStyle w:val="000000100000"/>
        </w:trPr>
        <w:tc>
          <w:tcPr>
            <w:cnfStyle w:val="001000000000"/>
            <w:tcW w:w="7479" w:type="dxa"/>
          </w:tcPr>
          <w:p w:rsidR="00EE28F2" w:rsidRDefault="00433285" w:rsidP="00433285">
            <w:pPr>
              <w:pStyle w:val="Heading2"/>
              <w:outlineLvl w:val="1"/>
            </w:pPr>
            <w:r>
              <w:t xml:space="preserve">National Standard: Working Together </w:t>
            </w:r>
          </w:p>
        </w:tc>
        <w:tc>
          <w:tcPr>
            <w:tcW w:w="1763" w:type="dxa"/>
          </w:tcPr>
          <w:p w:rsidR="00EE28F2" w:rsidRDefault="00433285" w:rsidP="00433285">
            <w:pPr>
              <w:pStyle w:val="Heading2"/>
              <w:jc w:val="center"/>
              <w:outlineLvl w:val="1"/>
              <w:cnfStyle w:val="000000100000"/>
            </w:pPr>
            <w:r>
              <w:t>7</w:t>
            </w:r>
          </w:p>
        </w:tc>
      </w:tr>
      <w:tr w:rsidR="00EE28F2" w:rsidTr="00433285">
        <w:tc>
          <w:tcPr>
            <w:cnfStyle w:val="001000000000"/>
            <w:tcW w:w="7479" w:type="dxa"/>
          </w:tcPr>
          <w:p w:rsidR="00EE28F2" w:rsidRDefault="00433285" w:rsidP="00433285">
            <w:pPr>
              <w:pStyle w:val="Heading2"/>
              <w:outlineLvl w:val="1"/>
            </w:pPr>
            <w:r>
              <w:t>National Standard: Method</w:t>
            </w:r>
          </w:p>
        </w:tc>
        <w:tc>
          <w:tcPr>
            <w:tcW w:w="1763" w:type="dxa"/>
          </w:tcPr>
          <w:p w:rsidR="00EE28F2" w:rsidRDefault="00433285" w:rsidP="00433285">
            <w:pPr>
              <w:pStyle w:val="Heading2"/>
              <w:jc w:val="center"/>
              <w:outlineLvl w:val="1"/>
              <w:cnfStyle w:val="000000000000"/>
            </w:pPr>
            <w:r>
              <w:t>8</w:t>
            </w:r>
          </w:p>
        </w:tc>
      </w:tr>
      <w:tr w:rsidR="00EE28F2" w:rsidTr="00433285">
        <w:trPr>
          <w:cnfStyle w:val="000000100000"/>
        </w:trPr>
        <w:tc>
          <w:tcPr>
            <w:cnfStyle w:val="001000000000"/>
            <w:tcW w:w="7479" w:type="dxa"/>
          </w:tcPr>
          <w:p w:rsidR="00EE28F2" w:rsidRDefault="00433285" w:rsidP="00433285">
            <w:pPr>
              <w:pStyle w:val="Heading2"/>
              <w:outlineLvl w:val="1"/>
            </w:pPr>
            <w:r>
              <w:t>National Standard: Communication</w:t>
            </w:r>
          </w:p>
        </w:tc>
        <w:tc>
          <w:tcPr>
            <w:tcW w:w="1763" w:type="dxa"/>
          </w:tcPr>
          <w:p w:rsidR="00EE28F2" w:rsidRDefault="00433285" w:rsidP="00433285">
            <w:pPr>
              <w:pStyle w:val="Heading2"/>
              <w:jc w:val="center"/>
              <w:outlineLvl w:val="1"/>
              <w:cnfStyle w:val="000000100000"/>
            </w:pPr>
            <w:r>
              <w:t>8</w:t>
            </w:r>
          </w:p>
        </w:tc>
      </w:tr>
      <w:tr w:rsidR="00EE28F2" w:rsidTr="00433285">
        <w:tc>
          <w:tcPr>
            <w:cnfStyle w:val="001000000000"/>
            <w:tcW w:w="7479" w:type="dxa"/>
          </w:tcPr>
          <w:p w:rsidR="00EE28F2" w:rsidRDefault="00433285" w:rsidP="00433285">
            <w:pPr>
              <w:pStyle w:val="Heading2"/>
              <w:outlineLvl w:val="1"/>
            </w:pPr>
            <w:r>
              <w:t>National Standard: Impact</w:t>
            </w:r>
          </w:p>
        </w:tc>
        <w:tc>
          <w:tcPr>
            <w:tcW w:w="1763" w:type="dxa"/>
          </w:tcPr>
          <w:p w:rsidR="00EE28F2" w:rsidRDefault="00433285" w:rsidP="00433285">
            <w:pPr>
              <w:pStyle w:val="Heading2"/>
              <w:jc w:val="center"/>
              <w:outlineLvl w:val="1"/>
              <w:cnfStyle w:val="000000000000"/>
            </w:pPr>
            <w:r>
              <w:t>9</w:t>
            </w:r>
          </w:p>
        </w:tc>
      </w:tr>
      <w:tr w:rsidR="00EE28F2" w:rsidTr="00433285">
        <w:trPr>
          <w:cnfStyle w:val="000000100000"/>
        </w:trPr>
        <w:tc>
          <w:tcPr>
            <w:cnfStyle w:val="001000000000"/>
            <w:tcW w:w="7479" w:type="dxa"/>
          </w:tcPr>
          <w:p w:rsidR="00EE28F2" w:rsidRDefault="00433285" w:rsidP="00433285">
            <w:pPr>
              <w:pStyle w:val="Heading2"/>
              <w:outlineLvl w:val="1"/>
            </w:pPr>
            <w:r>
              <w:t>Next steps</w:t>
            </w:r>
          </w:p>
        </w:tc>
        <w:tc>
          <w:tcPr>
            <w:tcW w:w="1763" w:type="dxa"/>
          </w:tcPr>
          <w:p w:rsidR="00EE28F2" w:rsidRDefault="00433285" w:rsidP="00433285">
            <w:pPr>
              <w:pStyle w:val="Heading2"/>
              <w:jc w:val="center"/>
              <w:outlineLvl w:val="1"/>
              <w:cnfStyle w:val="000000100000"/>
            </w:pPr>
            <w:r>
              <w:t>9</w:t>
            </w:r>
          </w:p>
        </w:tc>
      </w:tr>
      <w:tr w:rsidR="00EE28F2" w:rsidTr="00433285">
        <w:tc>
          <w:tcPr>
            <w:cnfStyle w:val="001000000000"/>
            <w:tcW w:w="7479" w:type="dxa"/>
          </w:tcPr>
          <w:p w:rsidR="00EE28F2" w:rsidRDefault="00433285" w:rsidP="00433285">
            <w:pPr>
              <w:pStyle w:val="Heading2"/>
              <w:outlineLvl w:val="1"/>
            </w:pPr>
            <w:r>
              <w:t>Draft Action Plan</w:t>
            </w:r>
          </w:p>
        </w:tc>
        <w:tc>
          <w:tcPr>
            <w:tcW w:w="1763" w:type="dxa"/>
          </w:tcPr>
          <w:p w:rsidR="00EE28F2" w:rsidRDefault="00433285" w:rsidP="00433285">
            <w:pPr>
              <w:pStyle w:val="Heading2"/>
              <w:jc w:val="center"/>
              <w:outlineLvl w:val="1"/>
              <w:cnfStyle w:val="000000000000"/>
            </w:pPr>
            <w:r>
              <w:t>10</w:t>
            </w:r>
          </w:p>
        </w:tc>
      </w:tr>
    </w:tbl>
    <w:p w:rsidR="00095534" w:rsidRDefault="00095534">
      <w:r>
        <w:br w:type="page"/>
      </w:r>
    </w:p>
    <w:p w:rsidR="00095534" w:rsidRDefault="00095534" w:rsidP="008619CE">
      <w:pPr>
        <w:pStyle w:val="Heading1"/>
      </w:pPr>
      <w:r>
        <w:t>Introduction</w:t>
      </w:r>
    </w:p>
    <w:p w:rsidR="008619CE" w:rsidRPr="009C0439" w:rsidRDefault="008619CE" w:rsidP="008619CE">
      <w:r w:rsidRPr="009C0439">
        <w:t>The Integration Joint Board (IJB) of East Lothian Health and Social Care Partnership is committed to improving outcomes for our population and for the communities in which people live.  Our Strategic Plan describes this commitment and recognises that central to achieving our vision is the involvement of the different perspectives, skills, knowledge and resources of a broad range of people involved both in health and social care services and in our communities.  The Strategic Plan values the richness and breadth of involvement and articulates a clear aim to build collaborative, meaningful partnerships between all key stakeholders.</w:t>
      </w:r>
    </w:p>
    <w:p w:rsidR="00095534" w:rsidRDefault="00095534" w:rsidP="008619CE">
      <w:pPr>
        <w:pStyle w:val="Heading1"/>
      </w:pPr>
      <w:r>
        <w:t xml:space="preserve">What does </w:t>
      </w:r>
      <w:r w:rsidR="00433285">
        <w:t>‘</w:t>
      </w:r>
      <w:r>
        <w:t>engagement</w:t>
      </w:r>
      <w:r w:rsidR="00433285">
        <w:t>’</w:t>
      </w:r>
      <w:r>
        <w:t xml:space="preserve"> mean?</w:t>
      </w:r>
    </w:p>
    <w:p w:rsidR="00E55A07" w:rsidRPr="00E55A07" w:rsidRDefault="00E55A07" w:rsidP="00E55A07">
      <w:r>
        <w:t xml:space="preserve">Key to this work </w:t>
      </w:r>
      <w:proofErr w:type="gramStart"/>
      <w:r>
        <w:t>is understanding</w:t>
      </w:r>
      <w:proofErr w:type="gramEnd"/>
      <w:r>
        <w:t xml:space="preserve"> what we mean by</w:t>
      </w:r>
      <w:r w:rsidR="00433285">
        <w:t xml:space="preserve"> the word</w:t>
      </w:r>
      <w:r>
        <w:t xml:space="preserve"> </w:t>
      </w:r>
      <w:r w:rsidR="00433285">
        <w:t>‘</w:t>
      </w:r>
      <w:r>
        <w:t>engagement</w:t>
      </w:r>
      <w:r w:rsidR="00681493">
        <w:t>’</w:t>
      </w:r>
      <w:r>
        <w:t xml:space="preserve">. The following section </w:t>
      </w:r>
      <w:r w:rsidR="00681493">
        <w:t>sets</w:t>
      </w:r>
      <w:r>
        <w:t xml:space="preserve"> out our understanding.</w:t>
      </w:r>
    </w:p>
    <w:p w:rsidR="008619CE" w:rsidRDefault="008619CE" w:rsidP="008619CE">
      <w:r w:rsidRPr="00C70DBA">
        <w:rPr>
          <w:b/>
        </w:rPr>
        <w:t>Community engagement</w:t>
      </w:r>
      <w:r>
        <w:t xml:space="preserve"> is about encouraging productive relationships between communities and public bodies. The National Standards for Community Engagement define community engagement as:</w:t>
      </w:r>
    </w:p>
    <w:p w:rsidR="008619CE" w:rsidRPr="00C70DBA" w:rsidRDefault="008619CE" w:rsidP="008619CE">
      <w:pPr>
        <w:ind w:left="720"/>
        <w:rPr>
          <w:i/>
        </w:rPr>
      </w:pPr>
      <w:r w:rsidRPr="00C70DBA">
        <w:rPr>
          <w:i/>
        </w:rPr>
        <w:t>'Developing and sustaining a working relationship between one or more public body and one or more community group, to help them both to understand and act on the needs or issues that the community experiences'.</w:t>
      </w:r>
    </w:p>
    <w:p w:rsidR="008619CE" w:rsidRDefault="008619CE" w:rsidP="008619CE">
      <w:r>
        <w:t>It is now accepted that public services that involve their users are likely to be of higher quality and more relevant to the communities they serve. The Scottish Government has built the principle of community engagement into policy and guidance to public services.  This is most notable for Community Planning through which the Local Government Scotland Act requires all public services to work together.  The guidance on the act states:</w:t>
      </w:r>
    </w:p>
    <w:p w:rsidR="008619CE" w:rsidRPr="00C70DBA" w:rsidRDefault="008619CE" w:rsidP="008619CE">
      <w:pPr>
        <w:ind w:left="720"/>
        <w:rPr>
          <w:i/>
        </w:rPr>
      </w:pPr>
      <w:r w:rsidRPr="00C70DBA">
        <w:rPr>
          <w:i/>
        </w:rPr>
        <w:t xml:space="preserve">'Community </w:t>
      </w:r>
      <w:proofErr w:type="gramStart"/>
      <w:r w:rsidRPr="00C70DBA">
        <w:rPr>
          <w:i/>
        </w:rPr>
        <w:t>Planning</w:t>
      </w:r>
      <w:proofErr w:type="gramEnd"/>
      <w:r w:rsidRPr="00C70DBA">
        <w:rPr>
          <w:i/>
        </w:rPr>
        <w:t xml:space="preserve"> is essentially a process to secure greater engagement from communities in the planning and delivery of services'.</w:t>
      </w:r>
    </w:p>
    <w:p w:rsidR="008619CE" w:rsidRDefault="008619CE" w:rsidP="008619CE">
      <w:r>
        <w:t>In addition, the Best Value 2 Community Engagement Framework produced by Audit Scotland emphasises the need for good quality community engagement practice at all levels and in particular in relation to:</w:t>
      </w:r>
    </w:p>
    <w:p w:rsidR="008619CE" w:rsidRDefault="008619CE" w:rsidP="008619CE">
      <w:pPr>
        <w:pStyle w:val="ListParagraph"/>
        <w:numPr>
          <w:ilvl w:val="0"/>
          <w:numId w:val="2"/>
        </w:numPr>
      </w:pPr>
      <w:r>
        <w:t>Commitment  of organisations to engaging with communities</w:t>
      </w:r>
    </w:p>
    <w:p w:rsidR="008619CE" w:rsidRDefault="008619CE" w:rsidP="008619CE">
      <w:pPr>
        <w:pStyle w:val="ListParagraph"/>
        <w:numPr>
          <w:ilvl w:val="0"/>
          <w:numId w:val="2"/>
        </w:numPr>
      </w:pPr>
      <w:r>
        <w:t>How well organisations understand the needs and aspirations of communities</w:t>
      </w:r>
    </w:p>
    <w:p w:rsidR="008619CE" w:rsidRDefault="008619CE" w:rsidP="008619CE">
      <w:pPr>
        <w:pStyle w:val="ListParagraph"/>
        <w:numPr>
          <w:ilvl w:val="0"/>
          <w:numId w:val="2"/>
        </w:numPr>
      </w:pPr>
      <w:r>
        <w:t>How well communities are involved in decision-making</w:t>
      </w:r>
    </w:p>
    <w:p w:rsidR="008619CE" w:rsidRDefault="008619CE" w:rsidP="008619CE">
      <w:pPr>
        <w:pStyle w:val="ListParagraph"/>
        <w:numPr>
          <w:ilvl w:val="0"/>
          <w:numId w:val="2"/>
        </w:numPr>
      </w:pPr>
      <w:r>
        <w:t>How well communities are involved in planning, monitoring and evaluating services</w:t>
      </w:r>
    </w:p>
    <w:p w:rsidR="008619CE" w:rsidRDefault="008619CE" w:rsidP="008619CE">
      <w:pPr>
        <w:pStyle w:val="ListParagraph"/>
        <w:numPr>
          <w:ilvl w:val="0"/>
          <w:numId w:val="2"/>
        </w:numPr>
      </w:pPr>
      <w:r>
        <w:t>Demonstrating what community engagement has achieved</w:t>
      </w:r>
    </w:p>
    <w:p w:rsidR="0084343A" w:rsidRDefault="00436DB0" w:rsidP="00433285">
      <w:pPr>
        <w:pStyle w:val="Heading1"/>
      </w:pPr>
      <w:r>
        <w:t>C</w:t>
      </w:r>
      <w:r w:rsidR="0084343A">
        <w:t>onsultation and co-production</w:t>
      </w:r>
    </w:p>
    <w:p w:rsidR="0084343A" w:rsidRDefault="0084343A" w:rsidP="0084343A">
      <w:pPr>
        <w:pStyle w:val="ListParagraph"/>
        <w:numPr>
          <w:ilvl w:val="0"/>
          <w:numId w:val="5"/>
        </w:numPr>
      </w:pPr>
      <w:r w:rsidRPr="006C0B6F">
        <w:rPr>
          <w:b/>
        </w:rPr>
        <w:t xml:space="preserve">Consultation </w:t>
      </w:r>
      <w:r>
        <w:t>is the process by which people are asked their opinions. Consultation requires a commitment to listen, give due weight to the views expressed and feedback outcomes to the people consulted.</w:t>
      </w:r>
      <w:r w:rsidRPr="004A79FA">
        <w:rPr>
          <w:noProof/>
          <w:lang w:eastAsia="en-GB"/>
        </w:rPr>
        <w:t xml:space="preserve"> </w:t>
      </w:r>
    </w:p>
    <w:p w:rsidR="0084343A" w:rsidRPr="0084343A" w:rsidRDefault="0084343A" w:rsidP="0084343A">
      <w:pPr>
        <w:pStyle w:val="ListParagraph"/>
        <w:numPr>
          <w:ilvl w:val="0"/>
          <w:numId w:val="5"/>
        </w:numPr>
        <w:rPr>
          <w:i/>
          <w:color w:val="000000" w:themeColor="text1"/>
        </w:rPr>
      </w:pPr>
      <w:r w:rsidRPr="00F65495">
        <w:rPr>
          <w:rStyle w:val="Emphasis"/>
          <w:rFonts w:cs="Arial"/>
          <w:b/>
          <w:i w:val="0"/>
          <w:color w:val="000000" w:themeColor="text1"/>
        </w:rPr>
        <w:t>Co</w:t>
      </w:r>
      <w:r w:rsidRPr="00F65495">
        <w:rPr>
          <w:rStyle w:val="Emphasis"/>
          <w:rFonts w:cs="Cambria Math"/>
          <w:b/>
          <w:i w:val="0"/>
          <w:color w:val="000000" w:themeColor="text1"/>
        </w:rPr>
        <w:t>‐</w:t>
      </w:r>
      <w:r w:rsidRPr="00F65495">
        <w:rPr>
          <w:rStyle w:val="Emphasis"/>
          <w:rFonts w:cs="Arial"/>
          <w:b/>
          <w:i w:val="0"/>
          <w:color w:val="000000" w:themeColor="text1"/>
        </w:rPr>
        <w:t>production</w:t>
      </w:r>
      <w:r w:rsidRPr="00F65495">
        <w:rPr>
          <w:rStyle w:val="Emphasis"/>
          <w:rFonts w:cs="Arial"/>
          <w:i w:val="0"/>
          <w:color w:val="000000" w:themeColor="text1"/>
        </w:rPr>
        <w:t xml:space="preserve"> means delivering public services in an equal and reciprocal relationship between professionals, people using services, their families and their neighbours. Where activities are co</w:t>
      </w:r>
      <w:r w:rsidRPr="00F65495">
        <w:rPr>
          <w:rStyle w:val="Emphasis"/>
          <w:rFonts w:cs="Cambria Math"/>
          <w:i w:val="0"/>
          <w:color w:val="000000" w:themeColor="text1"/>
        </w:rPr>
        <w:t>‐</w:t>
      </w:r>
      <w:r w:rsidRPr="00F65495">
        <w:rPr>
          <w:rStyle w:val="Emphasis"/>
          <w:rFonts w:cs="Arial"/>
          <w:i w:val="0"/>
          <w:color w:val="000000" w:themeColor="text1"/>
        </w:rPr>
        <w:t>produced in this way, both services and neighbourhoods become far more effective agents of change</w:t>
      </w:r>
      <w:r w:rsidRPr="0084343A">
        <w:rPr>
          <w:rStyle w:val="Emphasis"/>
          <w:rFonts w:cs="Arial"/>
          <w:i w:val="0"/>
          <w:color w:val="000000" w:themeColor="text1"/>
        </w:rPr>
        <w:t>. [</w:t>
      </w:r>
      <w:r w:rsidRPr="0084343A">
        <w:rPr>
          <w:rFonts w:cs="Arial"/>
          <w:color w:val="000000" w:themeColor="text1"/>
        </w:rPr>
        <w:t>New Economics Foundation]</w:t>
      </w:r>
      <w:r>
        <w:rPr>
          <w:rFonts w:cs="Arial"/>
          <w:color w:val="000000" w:themeColor="text1"/>
        </w:rPr>
        <w:t>.</w:t>
      </w:r>
    </w:p>
    <w:p w:rsidR="0084343A" w:rsidRDefault="0084343A" w:rsidP="004A79FA">
      <w:pPr>
        <w:rPr>
          <w:i/>
        </w:rPr>
      </w:pPr>
    </w:p>
    <w:p w:rsidR="007B5FD5" w:rsidRDefault="007B5FD5" w:rsidP="004A79FA">
      <w:pPr>
        <w:rPr>
          <w:i/>
        </w:rPr>
      </w:pPr>
    </w:p>
    <w:p w:rsidR="00686226" w:rsidRPr="00686226" w:rsidRDefault="00686226" w:rsidP="004A79FA">
      <w:pPr>
        <w:rPr>
          <w:i/>
        </w:rPr>
      </w:pPr>
      <w:r w:rsidRPr="00686226">
        <w:rPr>
          <w:i/>
        </w:rPr>
        <w:t xml:space="preserve">Figure </w:t>
      </w:r>
      <w:r>
        <w:rPr>
          <w:i/>
        </w:rPr>
        <w:t>1</w:t>
      </w:r>
      <w:r w:rsidRPr="00686226">
        <w:rPr>
          <w:i/>
        </w:rPr>
        <w:t>: A model for community engagement</w:t>
      </w:r>
    </w:p>
    <w:p w:rsidR="004A79FA" w:rsidRDefault="00686226" w:rsidP="004A79FA">
      <w:r>
        <w:rPr>
          <w:noProof/>
          <w:lang w:eastAsia="en-GB"/>
        </w:rPr>
        <w:drawing>
          <wp:inline distT="0" distB="0" distL="0" distR="0">
            <wp:extent cx="5731510" cy="3416935"/>
            <wp:effectExtent l="19050" t="0" r="2540" b="0"/>
            <wp:docPr id="7" name="Picture 6" descr="triangle di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iangle diag.jpg"/>
                    <pic:cNvPicPr/>
                  </pic:nvPicPr>
                  <pic:blipFill>
                    <a:blip r:embed="rId10" cstate="print"/>
                    <a:stretch>
                      <a:fillRect/>
                    </a:stretch>
                  </pic:blipFill>
                  <pic:spPr>
                    <a:xfrm>
                      <a:off x="0" y="0"/>
                      <a:ext cx="5731510" cy="3416935"/>
                    </a:xfrm>
                    <a:prstGeom prst="rect">
                      <a:avLst/>
                    </a:prstGeom>
                  </pic:spPr>
                </pic:pic>
              </a:graphicData>
            </a:graphic>
          </wp:inline>
        </w:drawing>
      </w:r>
    </w:p>
    <w:p w:rsidR="007B5FD5" w:rsidRDefault="007B5FD5" w:rsidP="007B5FD5"/>
    <w:p w:rsidR="007B5FD5" w:rsidRDefault="007B5FD5" w:rsidP="007B5FD5"/>
    <w:p w:rsidR="007B5FD5" w:rsidRDefault="007B5FD5" w:rsidP="007B5FD5">
      <w:r>
        <w:t>This strategy looks at consultation and engagement with the longer-term aim of achieving greater co-production.</w:t>
      </w:r>
    </w:p>
    <w:p w:rsidR="00095534" w:rsidRDefault="00FA4428" w:rsidP="00FA4428">
      <w:pPr>
        <w:pStyle w:val="Heading1"/>
      </w:pPr>
      <w:r>
        <w:t>Why engagement is</w:t>
      </w:r>
      <w:r w:rsidR="00095534">
        <w:t xml:space="preserve"> key to all our work</w:t>
      </w:r>
    </w:p>
    <w:p w:rsidR="00FA4428" w:rsidRPr="00FA4428" w:rsidRDefault="00FA4428" w:rsidP="00FA4428">
      <w:pPr>
        <w:pStyle w:val="NormalWeb"/>
        <w:rPr>
          <w:rFonts w:asciiTheme="minorHAnsi" w:hAnsiTheme="minorHAnsi"/>
          <w:sz w:val="22"/>
          <w:szCs w:val="22"/>
        </w:rPr>
      </w:pPr>
      <w:r w:rsidRPr="00FA4428">
        <w:rPr>
          <w:rFonts w:asciiTheme="minorHAnsi" w:hAnsiTheme="minorHAnsi"/>
          <w:sz w:val="22"/>
          <w:szCs w:val="22"/>
        </w:rPr>
        <w:t xml:space="preserve">The establishment of the East Lothian Health and Social Care Partnership offers huge opportunities to examine how health and social care partners in East Lothian can work together to streamline the way we do things, adopt more innovative practices and use the skills of a combined workforce to deliver even better outcomes for the people of East Lothian. </w:t>
      </w:r>
    </w:p>
    <w:p w:rsidR="007B5FD5" w:rsidRDefault="007B5FD5" w:rsidP="007B5FD5">
      <w:pPr>
        <w:pStyle w:val="Heading2"/>
      </w:pPr>
      <w:r>
        <w:t>East Lothian Health and Social Care Partnership Strategic Aims</w:t>
      </w:r>
    </w:p>
    <w:p w:rsidR="00FA4428" w:rsidRDefault="00FA4428" w:rsidP="00FA4428">
      <w:pPr>
        <w:pStyle w:val="Heading3"/>
      </w:pPr>
      <w:r>
        <w:t>Best health, best care, best value for our communities</w:t>
      </w:r>
    </w:p>
    <w:p w:rsidR="00FA4428" w:rsidRPr="00FA4428" w:rsidRDefault="004E0DC1" w:rsidP="007B5FD5">
      <w:pPr>
        <w:pStyle w:val="NormalWeb"/>
        <w:rPr>
          <w:rFonts w:asciiTheme="minorHAnsi" w:hAnsiTheme="minorHAnsi"/>
          <w:sz w:val="22"/>
          <w:szCs w:val="22"/>
        </w:rPr>
      </w:pPr>
      <w:r w:rsidRPr="004E0DC1">
        <w:rPr>
          <w:noProof/>
          <w:lang w:val="en-US" w:eastAsia="zh-TW"/>
        </w:rPr>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_x0000_s1041" type="#_x0000_t186" style="position:absolute;margin-left:276.65pt;margin-top:156.2pt;width:230.25pt;height:180.4pt;rotation:90;z-index:251662336;mso-width-percent:400;mso-position-horizontal-relative:margin;mso-position-vertical-relative:page;mso-width-percent:400;mso-width-relative:margin;mso-height-relative:margin;v-text-anchor:middle" o:allowincell="f" filled="t" fillcolor="#1f497d [3215]" stroked="f" strokecolor="#5c83b4" strokeweight=".25pt">
            <v:shadow opacity=".5"/>
            <v:textbox style="mso-next-textbox:#_x0000_s1041">
              <w:txbxContent>
                <w:p w:rsidR="00433285" w:rsidRPr="007B5FD5" w:rsidRDefault="00433285" w:rsidP="007B5FD5">
                  <w:pPr>
                    <w:spacing w:before="100" w:beforeAutospacing="1" w:after="100" w:afterAutospacing="1" w:line="240" w:lineRule="auto"/>
                    <w:rPr>
                      <w:color w:val="FFFFFF" w:themeColor="background1"/>
                    </w:rPr>
                  </w:pPr>
                  <w:r w:rsidRPr="007B5FD5">
                    <w:rPr>
                      <w:color w:val="FFFFFF" w:themeColor="background1"/>
                    </w:rPr>
                    <w:t xml:space="preserve">Engagement with local communities, service-uses, carers, providers and other stakeholders is </w:t>
                  </w:r>
                  <w:proofErr w:type="gramStart"/>
                  <w:r w:rsidRPr="007B5FD5">
                    <w:rPr>
                      <w:color w:val="FFFFFF" w:themeColor="background1"/>
                    </w:rPr>
                    <w:t>key</w:t>
                  </w:r>
                  <w:proofErr w:type="gramEnd"/>
                  <w:r w:rsidRPr="007B5FD5">
                    <w:rPr>
                      <w:color w:val="FFFFFF" w:themeColor="background1"/>
                    </w:rPr>
                    <w:t xml:space="preserve"> to achieving every strategic aim. We want to learn from your experiences and work with you to achieve our vision of ‘Best health, best care, </w:t>
                  </w:r>
                  <w:proofErr w:type="gramStart"/>
                  <w:r w:rsidRPr="007B5FD5">
                    <w:rPr>
                      <w:color w:val="FFFFFF" w:themeColor="background1"/>
                    </w:rPr>
                    <w:t>best</w:t>
                  </w:r>
                  <w:proofErr w:type="gramEnd"/>
                  <w:r w:rsidRPr="007B5FD5">
                    <w:rPr>
                      <w:color w:val="FFFFFF" w:themeColor="background1"/>
                    </w:rPr>
                    <w:t xml:space="preserve"> value for our communities’.  You can find out more about our vision for health and social care in East Lothian over the next few years in our </w:t>
                  </w:r>
                  <w:hyperlink r:id="rId11" w:history="1">
                    <w:r w:rsidRPr="007B5FD5">
                      <w:rPr>
                        <w:rStyle w:val="Hyperlink"/>
                        <w:color w:val="FFFFFF" w:themeColor="background1"/>
                      </w:rPr>
                      <w:t>strategic plan</w:t>
                    </w:r>
                  </w:hyperlink>
                  <w:r w:rsidRPr="007B5FD5">
                    <w:rPr>
                      <w:color w:val="FFFFFF" w:themeColor="background1"/>
                    </w:rPr>
                    <w:t>.</w:t>
                  </w:r>
                </w:p>
                <w:p w:rsidR="00433285" w:rsidRDefault="00433285">
                  <w:pPr>
                    <w:spacing w:after="0" w:line="288" w:lineRule="auto"/>
                    <w:jc w:val="center"/>
                    <w:rPr>
                      <w:rFonts w:asciiTheme="majorHAnsi" w:eastAsiaTheme="majorEastAsia" w:hAnsiTheme="majorHAnsi" w:cstheme="majorBidi"/>
                      <w:i/>
                      <w:iCs/>
                      <w:color w:val="D3DFEE" w:themeColor="accent1" w:themeTint="3F"/>
                      <w:sz w:val="28"/>
                      <w:szCs w:val="28"/>
                    </w:rPr>
                  </w:pPr>
                </w:p>
              </w:txbxContent>
            </v:textbox>
            <w10:wrap type="square" anchorx="margin" anchory="page"/>
          </v:shape>
        </w:pict>
      </w:r>
      <w:r w:rsidR="00FA4428" w:rsidRPr="00FA4428">
        <w:rPr>
          <w:rFonts w:asciiTheme="minorHAnsi" w:hAnsiTheme="minorHAnsi"/>
          <w:sz w:val="22"/>
          <w:szCs w:val="22"/>
        </w:rPr>
        <w:t xml:space="preserve">Our strategic aims are about ensuring that services: </w:t>
      </w:r>
    </w:p>
    <w:p w:rsidR="00FA4428" w:rsidRDefault="00FA4428" w:rsidP="007B5FD5">
      <w:pPr>
        <w:numPr>
          <w:ilvl w:val="0"/>
          <w:numId w:val="3"/>
        </w:numPr>
        <w:spacing w:before="100" w:beforeAutospacing="1" w:after="100" w:afterAutospacing="1" w:line="240" w:lineRule="auto"/>
      </w:pPr>
      <w:r>
        <w:t xml:space="preserve">are joined-up for service-users </w:t>
      </w:r>
    </w:p>
    <w:p w:rsidR="00FA4428" w:rsidRDefault="00FA4428" w:rsidP="007B5FD5">
      <w:pPr>
        <w:numPr>
          <w:ilvl w:val="0"/>
          <w:numId w:val="3"/>
        </w:numPr>
        <w:spacing w:before="100" w:beforeAutospacing="1" w:after="100" w:afterAutospacing="1" w:line="240" w:lineRule="auto"/>
      </w:pPr>
      <w:r>
        <w:t xml:space="preserve">take account of the particular needs of individual service-users and their circumstances in different parts of the county </w:t>
      </w:r>
    </w:p>
    <w:p w:rsidR="00FA4428" w:rsidRDefault="00FA4428" w:rsidP="007B5FD5">
      <w:pPr>
        <w:numPr>
          <w:ilvl w:val="0"/>
          <w:numId w:val="3"/>
        </w:numPr>
        <w:spacing w:before="100" w:beforeAutospacing="1" w:after="100" w:afterAutospacing="1" w:line="240" w:lineRule="auto"/>
      </w:pPr>
      <w:r>
        <w:t xml:space="preserve">respect our service-users’ rights and take account of their dignity </w:t>
      </w:r>
    </w:p>
    <w:p w:rsidR="00FA4428" w:rsidRDefault="00FA4428" w:rsidP="007B5FD5">
      <w:pPr>
        <w:numPr>
          <w:ilvl w:val="0"/>
          <w:numId w:val="3"/>
        </w:numPr>
        <w:spacing w:before="100" w:beforeAutospacing="1" w:after="100" w:afterAutospacing="1" w:line="240" w:lineRule="auto"/>
      </w:pPr>
      <w:r>
        <w:t xml:space="preserve">take account of the way that our service-users participate in their communities </w:t>
      </w:r>
    </w:p>
    <w:p w:rsidR="00FA4428" w:rsidRDefault="00FA4428" w:rsidP="007B5FD5">
      <w:pPr>
        <w:numPr>
          <w:ilvl w:val="0"/>
          <w:numId w:val="3"/>
        </w:numPr>
        <w:spacing w:before="100" w:beforeAutospacing="1" w:after="100" w:afterAutospacing="1" w:line="240" w:lineRule="auto"/>
      </w:pPr>
      <w:r>
        <w:t xml:space="preserve">protect and improve our service-users’ safety </w:t>
      </w:r>
    </w:p>
    <w:p w:rsidR="00FA4428" w:rsidRDefault="00FA4428" w:rsidP="007B5FD5">
      <w:pPr>
        <w:numPr>
          <w:ilvl w:val="0"/>
          <w:numId w:val="3"/>
        </w:numPr>
        <w:spacing w:before="100" w:beforeAutospacing="1" w:after="100" w:afterAutospacing="1" w:line="240" w:lineRule="auto"/>
      </w:pPr>
      <w:r>
        <w:t xml:space="preserve">improve the quality of our services and ensure that they are planned and delivered locally in a way that is engaged with our communities </w:t>
      </w:r>
    </w:p>
    <w:p w:rsidR="00FA4428" w:rsidRDefault="00FA4428" w:rsidP="007B5FD5">
      <w:pPr>
        <w:numPr>
          <w:ilvl w:val="0"/>
          <w:numId w:val="3"/>
        </w:numPr>
        <w:spacing w:before="100" w:beforeAutospacing="1" w:after="100" w:afterAutospacing="1" w:line="240" w:lineRule="auto"/>
      </w:pPr>
      <w:r>
        <w:t xml:space="preserve">anticipate needs and prevent them from happening </w:t>
      </w:r>
    </w:p>
    <w:p w:rsidR="00FA4428" w:rsidRDefault="00FA4428" w:rsidP="007B5FD5">
      <w:pPr>
        <w:numPr>
          <w:ilvl w:val="0"/>
          <w:numId w:val="3"/>
        </w:numPr>
        <w:spacing w:before="100" w:beforeAutospacing="1" w:after="100" w:afterAutospacing="1" w:line="240" w:lineRule="auto"/>
      </w:pPr>
      <w:proofErr w:type="gramStart"/>
      <w:r>
        <w:t>make</w:t>
      </w:r>
      <w:proofErr w:type="gramEnd"/>
      <w:r>
        <w:t xml:space="preserve"> the best use of the available facilities, people and other resources. </w:t>
      </w:r>
    </w:p>
    <w:p w:rsidR="007B5FD5" w:rsidRDefault="007B5FD5" w:rsidP="007B5FD5">
      <w:pPr>
        <w:autoSpaceDE w:val="0"/>
        <w:autoSpaceDN w:val="0"/>
        <w:adjustRightInd w:val="0"/>
        <w:spacing w:after="0" w:line="240" w:lineRule="auto"/>
        <w:rPr>
          <w:rFonts w:cs="Cambria"/>
        </w:rPr>
      </w:pPr>
      <w:r w:rsidRPr="009C0439">
        <w:rPr>
          <w:rFonts w:cs="Cambria"/>
        </w:rPr>
        <w:t xml:space="preserve">Our Strategic Plan also commits to understanding the needs of the different communities in East Lothian, recognising that meaningful engagement and participation with individuals and communities requires us to take into account their individual and collective characteristics and in particular the protected characteristics of age, disability status, ethnicity, gender/sex, religion/belief, sexual orientation and transgender identity. </w:t>
      </w:r>
    </w:p>
    <w:p w:rsidR="007B5FD5" w:rsidRDefault="007B5FD5" w:rsidP="007B5FD5">
      <w:pPr>
        <w:autoSpaceDE w:val="0"/>
        <w:autoSpaceDN w:val="0"/>
        <w:adjustRightInd w:val="0"/>
        <w:spacing w:after="0" w:line="240" w:lineRule="auto"/>
        <w:rPr>
          <w:rFonts w:cs="Cambria"/>
        </w:rPr>
      </w:pPr>
    </w:p>
    <w:p w:rsidR="007B5FD5" w:rsidRPr="009C0439" w:rsidRDefault="007B5FD5" w:rsidP="007B5FD5">
      <w:pPr>
        <w:pStyle w:val="Heading2"/>
        <w:spacing w:line="240" w:lineRule="auto"/>
      </w:pPr>
      <w:r>
        <w:t>Engagement plays a key role</w:t>
      </w:r>
    </w:p>
    <w:p w:rsidR="007B5FD5" w:rsidRPr="009C0439" w:rsidRDefault="007B5FD5" w:rsidP="007B5FD5">
      <w:pPr>
        <w:autoSpaceDE w:val="0"/>
        <w:autoSpaceDN w:val="0"/>
        <w:adjustRightInd w:val="0"/>
        <w:spacing w:after="0" w:line="240" w:lineRule="auto"/>
        <w:rPr>
          <w:rFonts w:cs="Arial"/>
        </w:rPr>
      </w:pPr>
      <w:r w:rsidRPr="009C0439">
        <w:rPr>
          <w:rFonts w:cs="Arial"/>
        </w:rPr>
        <w:t>This Engagement Strategy is therefore one of our primary supporting documents and outlines how the IJB will:</w:t>
      </w:r>
    </w:p>
    <w:p w:rsidR="007B5FD5" w:rsidRPr="009C0439" w:rsidRDefault="007B5FD5" w:rsidP="007B5FD5">
      <w:pPr>
        <w:pStyle w:val="ListParagraph"/>
        <w:numPr>
          <w:ilvl w:val="0"/>
          <w:numId w:val="1"/>
        </w:numPr>
        <w:autoSpaceDE w:val="0"/>
        <w:autoSpaceDN w:val="0"/>
        <w:adjustRightInd w:val="0"/>
        <w:spacing w:after="0" w:line="240" w:lineRule="auto"/>
        <w:rPr>
          <w:rFonts w:cs="Arial"/>
        </w:rPr>
      </w:pPr>
      <w:r w:rsidRPr="009C0439">
        <w:rPr>
          <w:rFonts w:cs="Arial"/>
        </w:rPr>
        <w:t>Ensure it has a clear and effective participation and engagement approach</w:t>
      </w:r>
    </w:p>
    <w:p w:rsidR="007B5FD5" w:rsidRPr="009C0439" w:rsidRDefault="007B5FD5" w:rsidP="007B5FD5">
      <w:pPr>
        <w:autoSpaceDE w:val="0"/>
        <w:autoSpaceDN w:val="0"/>
        <w:adjustRightInd w:val="0"/>
        <w:spacing w:after="0" w:line="240" w:lineRule="auto"/>
        <w:ind w:firstLine="720"/>
        <w:rPr>
          <w:rFonts w:cs="Arial"/>
        </w:rPr>
      </w:pPr>
      <w:proofErr w:type="gramStart"/>
      <w:r w:rsidRPr="009C0439">
        <w:rPr>
          <w:rFonts w:cs="Arial"/>
        </w:rPr>
        <w:t>at</w:t>
      </w:r>
      <w:proofErr w:type="gramEnd"/>
      <w:r w:rsidRPr="009C0439">
        <w:rPr>
          <w:rFonts w:cs="Arial"/>
        </w:rPr>
        <w:t xml:space="preserve"> the heart of reforming health and social care services locally.</w:t>
      </w:r>
    </w:p>
    <w:p w:rsidR="007B5FD5" w:rsidRPr="009C0439" w:rsidRDefault="007B5FD5" w:rsidP="007B5FD5">
      <w:pPr>
        <w:pStyle w:val="ListParagraph"/>
        <w:numPr>
          <w:ilvl w:val="0"/>
          <w:numId w:val="1"/>
        </w:numPr>
        <w:autoSpaceDE w:val="0"/>
        <w:autoSpaceDN w:val="0"/>
        <w:adjustRightInd w:val="0"/>
        <w:spacing w:after="0" w:line="240" w:lineRule="auto"/>
        <w:rPr>
          <w:rFonts w:cs="Arial"/>
        </w:rPr>
      </w:pPr>
      <w:r w:rsidRPr="009C0439">
        <w:rPr>
          <w:rFonts w:cs="Arial"/>
        </w:rPr>
        <w:t>Effectively deliver its Strategic Plan, which outlines how it will progress and</w:t>
      </w:r>
    </w:p>
    <w:p w:rsidR="007B5FD5" w:rsidRPr="009C0439" w:rsidRDefault="007B5FD5" w:rsidP="007B5FD5">
      <w:pPr>
        <w:autoSpaceDE w:val="0"/>
        <w:autoSpaceDN w:val="0"/>
        <w:adjustRightInd w:val="0"/>
        <w:spacing w:after="0" w:line="240" w:lineRule="auto"/>
        <w:ind w:firstLine="720"/>
        <w:rPr>
          <w:rFonts w:cs="Arial"/>
        </w:rPr>
      </w:pPr>
      <w:proofErr w:type="gramStart"/>
      <w:r w:rsidRPr="009C0439">
        <w:rPr>
          <w:rFonts w:cs="Arial"/>
        </w:rPr>
        <w:t>deliver</w:t>
      </w:r>
      <w:proofErr w:type="gramEnd"/>
      <w:r w:rsidRPr="009C0439">
        <w:rPr>
          <w:rFonts w:cs="Arial"/>
        </w:rPr>
        <w:t xml:space="preserve"> on the agreed national health and wellbeing outcomes</w:t>
      </w:r>
    </w:p>
    <w:p w:rsidR="007B5FD5" w:rsidRPr="009C0439" w:rsidRDefault="007B5FD5" w:rsidP="007B5FD5">
      <w:pPr>
        <w:pStyle w:val="ListParagraph"/>
        <w:numPr>
          <w:ilvl w:val="0"/>
          <w:numId w:val="1"/>
        </w:numPr>
        <w:autoSpaceDE w:val="0"/>
        <w:autoSpaceDN w:val="0"/>
        <w:adjustRightInd w:val="0"/>
        <w:spacing w:after="0" w:line="240" w:lineRule="auto"/>
        <w:rPr>
          <w:rFonts w:cs="Arial"/>
        </w:rPr>
      </w:pPr>
      <w:r w:rsidRPr="009C0439">
        <w:rPr>
          <w:rFonts w:cs="Arial"/>
        </w:rPr>
        <w:t>Enable the Partnership’s vision and how it works to become a reality</w:t>
      </w:r>
    </w:p>
    <w:p w:rsidR="00433285" w:rsidRDefault="007B5FD5" w:rsidP="00433285">
      <w:pPr>
        <w:pStyle w:val="ListParagraph"/>
        <w:numPr>
          <w:ilvl w:val="0"/>
          <w:numId w:val="1"/>
        </w:numPr>
        <w:autoSpaceDE w:val="0"/>
        <w:autoSpaceDN w:val="0"/>
        <w:adjustRightInd w:val="0"/>
        <w:spacing w:after="0" w:line="240" w:lineRule="auto"/>
        <w:rPr>
          <w:rFonts w:cs="Arial"/>
        </w:rPr>
      </w:pPr>
      <w:r w:rsidRPr="009C0439">
        <w:rPr>
          <w:rFonts w:cs="Arial"/>
        </w:rPr>
        <w:t>Inform decision making processes in the carrying out of delegated functions.</w:t>
      </w:r>
    </w:p>
    <w:p w:rsidR="00433285" w:rsidRPr="00433285" w:rsidRDefault="00433285" w:rsidP="00433285">
      <w:pPr>
        <w:autoSpaceDE w:val="0"/>
        <w:autoSpaceDN w:val="0"/>
        <w:adjustRightInd w:val="0"/>
        <w:spacing w:after="0" w:line="240" w:lineRule="auto"/>
        <w:ind w:left="360"/>
        <w:rPr>
          <w:rFonts w:cs="Arial"/>
        </w:rPr>
      </w:pPr>
    </w:p>
    <w:p w:rsidR="00067CF1" w:rsidRDefault="00433285" w:rsidP="00433285">
      <w:pPr>
        <w:pStyle w:val="Heading1"/>
      </w:pPr>
      <w:r>
        <w:t>National Standards for Community Engagement</w:t>
      </w:r>
    </w:p>
    <w:p w:rsidR="00433285" w:rsidRDefault="00433285" w:rsidP="00433285">
      <w:pPr>
        <w:spacing w:before="100" w:beforeAutospacing="1" w:after="100" w:afterAutospacing="1" w:line="240" w:lineRule="auto"/>
      </w:pPr>
      <w:r>
        <w:t xml:space="preserve">We intend to work to the </w:t>
      </w:r>
      <w:hyperlink r:id="rId12" w:history="1">
        <w:r w:rsidRPr="007B5FD5">
          <w:rPr>
            <w:rStyle w:val="Hyperlink"/>
          </w:rPr>
          <w:t>National Standards for Community Engagement.</w:t>
        </w:r>
      </w:hyperlink>
      <w:r>
        <w:t xml:space="preserve">  These are </w:t>
      </w:r>
      <w:proofErr w:type="spellStart"/>
      <w:r>
        <w:t>are</w:t>
      </w:r>
      <w:proofErr w:type="spellEnd"/>
      <w:r>
        <w:t xml:space="preserve"> good-practice principles designed to support and inform the process of community engagement, and improve what happens as a result.</w:t>
      </w:r>
    </w:p>
    <w:p w:rsidR="00433285" w:rsidRPr="00433285" w:rsidRDefault="00433285" w:rsidP="00433285"/>
    <w:p w:rsidR="00FA4428" w:rsidRPr="006C0B6F" w:rsidRDefault="00067CF1" w:rsidP="00067CF1">
      <w:pPr>
        <w:spacing w:before="100" w:beforeAutospacing="1" w:after="100" w:afterAutospacing="1" w:line="240" w:lineRule="auto"/>
      </w:pPr>
      <w:r w:rsidRPr="00067CF1">
        <w:rPr>
          <w:i/>
        </w:rPr>
        <w:t>Figure 2: National Engagement Standards</w:t>
      </w:r>
      <w:r>
        <w:rPr>
          <w:noProof/>
          <w:lang w:eastAsia="en-GB"/>
        </w:rPr>
        <w:drawing>
          <wp:inline distT="0" distB="0" distL="0" distR="0">
            <wp:extent cx="5731510" cy="5855335"/>
            <wp:effectExtent l="19050" t="0" r="2540" b="0"/>
            <wp:docPr id="8" name="Picture 7" descr="NSfCE-Graphic-web-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SfCE-Graphic-web-large.jpg"/>
                    <pic:cNvPicPr/>
                  </pic:nvPicPr>
                  <pic:blipFill>
                    <a:blip r:embed="rId13" cstate="print"/>
                    <a:stretch>
                      <a:fillRect/>
                    </a:stretch>
                  </pic:blipFill>
                  <pic:spPr>
                    <a:xfrm>
                      <a:off x="0" y="0"/>
                      <a:ext cx="5731510" cy="5855335"/>
                    </a:xfrm>
                    <a:prstGeom prst="rect">
                      <a:avLst/>
                    </a:prstGeom>
                  </pic:spPr>
                </pic:pic>
              </a:graphicData>
            </a:graphic>
          </wp:inline>
        </w:drawing>
      </w:r>
    </w:p>
    <w:p w:rsidR="00095534" w:rsidRDefault="00095534" w:rsidP="00BC1505">
      <w:pPr>
        <w:pStyle w:val="Heading2"/>
      </w:pPr>
      <w:r>
        <w:t>National Standar</w:t>
      </w:r>
      <w:r w:rsidR="006C0B6F">
        <w:t xml:space="preserve">d: Inclusion </w:t>
      </w:r>
    </w:p>
    <w:p w:rsidR="00067CF1" w:rsidRDefault="00067CF1" w:rsidP="00067CF1">
      <w:pPr>
        <w:pStyle w:val="Heading4"/>
      </w:pPr>
      <w:r>
        <w:t>We will identify and involve the people and organisations that are affected by the focus of the engagement</w:t>
      </w:r>
    </w:p>
    <w:p w:rsidR="00067CF1" w:rsidRDefault="00067CF1" w:rsidP="00067CF1">
      <w:pPr>
        <w:pStyle w:val="Heading2"/>
      </w:pPr>
      <w:r>
        <w:t>Our stakeholders</w:t>
      </w:r>
    </w:p>
    <w:p w:rsidR="00067CF1" w:rsidRDefault="00067CF1" w:rsidP="00067CF1">
      <w:r>
        <w:t xml:space="preserve">We are all stakeholders in health and social care. </w:t>
      </w:r>
      <w:proofErr w:type="gramStart"/>
      <w:r>
        <w:t>Therefore, as many of us as possible need to be engaged in strategic planning for health and social care in East Lothian.</w:t>
      </w:r>
      <w:proofErr w:type="gramEnd"/>
      <w:r>
        <w:t xml:space="preserve">  This includes through:</w:t>
      </w:r>
    </w:p>
    <w:p w:rsidR="00067CF1" w:rsidRDefault="00067CF1" w:rsidP="00067CF1">
      <w:pPr>
        <w:pStyle w:val="ListParagraph"/>
        <w:numPr>
          <w:ilvl w:val="0"/>
          <w:numId w:val="6"/>
        </w:numPr>
      </w:pPr>
      <w:r>
        <w:t>Area Partnerships</w:t>
      </w:r>
    </w:p>
    <w:p w:rsidR="00067CF1" w:rsidRDefault="00067CF1" w:rsidP="00067CF1">
      <w:pPr>
        <w:pStyle w:val="ListParagraph"/>
        <w:numPr>
          <w:ilvl w:val="0"/>
          <w:numId w:val="6"/>
        </w:numPr>
      </w:pPr>
      <w:r>
        <w:t>Community Councils</w:t>
      </w:r>
    </w:p>
    <w:p w:rsidR="00067CF1" w:rsidRDefault="00067CF1" w:rsidP="00067CF1">
      <w:pPr>
        <w:pStyle w:val="ListParagraph"/>
        <w:numPr>
          <w:ilvl w:val="0"/>
          <w:numId w:val="6"/>
        </w:numPr>
      </w:pPr>
      <w:r>
        <w:t>East Lothian Tenants and Residents Panel and Tenants and Residents Associations</w:t>
      </w:r>
    </w:p>
    <w:p w:rsidR="00067CF1" w:rsidRDefault="00067CF1" w:rsidP="00067CF1">
      <w:pPr>
        <w:pStyle w:val="ListParagraph"/>
        <w:numPr>
          <w:ilvl w:val="0"/>
          <w:numId w:val="6"/>
        </w:numPr>
      </w:pPr>
      <w:r>
        <w:t>Patient involvement groups</w:t>
      </w:r>
    </w:p>
    <w:p w:rsidR="00067CF1" w:rsidRDefault="00067CF1" w:rsidP="00067CF1">
      <w:pPr>
        <w:pStyle w:val="ListParagraph"/>
        <w:numPr>
          <w:ilvl w:val="0"/>
          <w:numId w:val="6"/>
        </w:numPr>
      </w:pPr>
      <w:r>
        <w:t>Third-sector organisations</w:t>
      </w:r>
    </w:p>
    <w:p w:rsidR="00067CF1" w:rsidRDefault="00067CF1" w:rsidP="00067CF1">
      <w:pPr>
        <w:pStyle w:val="ListParagraph"/>
        <w:numPr>
          <w:ilvl w:val="0"/>
          <w:numId w:val="6"/>
        </w:numPr>
      </w:pPr>
      <w:r>
        <w:t>Interest and advocacy groups</w:t>
      </w:r>
    </w:p>
    <w:p w:rsidR="00067CF1" w:rsidRDefault="00067CF1" w:rsidP="00067CF1">
      <w:pPr>
        <w:pStyle w:val="ListParagraph"/>
        <w:numPr>
          <w:ilvl w:val="0"/>
          <w:numId w:val="6"/>
        </w:numPr>
      </w:pPr>
      <w:r>
        <w:t xml:space="preserve">Service-providers </w:t>
      </w:r>
    </w:p>
    <w:p w:rsidR="00067CF1" w:rsidRDefault="00067CF1" w:rsidP="00067CF1">
      <w:pPr>
        <w:pStyle w:val="ListParagraph"/>
        <w:numPr>
          <w:ilvl w:val="0"/>
          <w:numId w:val="6"/>
        </w:numPr>
      </w:pPr>
      <w:r>
        <w:t>Community Planning groups (for example, Resilient People)</w:t>
      </w:r>
    </w:p>
    <w:p w:rsidR="00A21A97" w:rsidRDefault="00067CF1" w:rsidP="00067CF1">
      <w:pPr>
        <w:pStyle w:val="ListParagraph"/>
        <w:numPr>
          <w:ilvl w:val="0"/>
          <w:numId w:val="6"/>
        </w:numPr>
      </w:pPr>
      <w:r>
        <w:t>Our staff and unions</w:t>
      </w:r>
    </w:p>
    <w:p w:rsidR="00A21A97" w:rsidRDefault="00A21A97" w:rsidP="00067CF1">
      <w:pPr>
        <w:pStyle w:val="ListParagraph"/>
        <w:numPr>
          <w:ilvl w:val="0"/>
          <w:numId w:val="6"/>
        </w:numPr>
      </w:pPr>
      <w:r>
        <w:t>Elected members, MPs, MSPs</w:t>
      </w:r>
    </w:p>
    <w:p w:rsidR="00067CF1" w:rsidRDefault="00A21A97" w:rsidP="00067CF1">
      <w:pPr>
        <w:pStyle w:val="ListParagraph"/>
        <w:numPr>
          <w:ilvl w:val="0"/>
          <w:numId w:val="6"/>
        </w:numPr>
      </w:pPr>
      <w:r>
        <w:t>Professional regulatory bodies</w:t>
      </w:r>
      <w:r w:rsidR="00067CF1">
        <w:t>.</w:t>
      </w:r>
    </w:p>
    <w:p w:rsidR="00E55A07" w:rsidRDefault="00E55A07" w:rsidP="00E55A07">
      <w:pPr>
        <w:pStyle w:val="Heading2"/>
      </w:pPr>
      <w:r>
        <w:t>National Standard: Support</w:t>
      </w:r>
    </w:p>
    <w:p w:rsidR="00E55A07" w:rsidRDefault="00E55A07" w:rsidP="00E55A07">
      <w:pPr>
        <w:pStyle w:val="Heading3"/>
      </w:pPr>
      <w:r>
        <w:t>We will identify and overcome any barriers to participation.</w:t>
      </w:r>
    </w:p>
    <w:p w:rsidR="00E55A07" w:rsidRDefault="00E55A07" w:rsidP="00E55A07">
      <w:r>
        <w:t xml:space="preserve">It is </w:t>
      </w:r>
      <w:proofErr w:type="gramStart"/>
      <w:r>
        <w:t>key</w:t>
      </w:r>
      <w:proofErr w:type="gramEnd"/>
      <w:r>
        <w:t xml:space="preserve"> that we remove or reduce any practical barriers which make it difficult for people to take part in engagement activities.  </w:t>
      </w:r>
    </w:p>
    <w:p w:rsidR="00E55A07" w:rsidRPr="004D344A" w:rsidRDefault="00E55A07" w:rsidP="00E55A07">
      <w:pPr>
        <w:pStyle w:val="NormalWeb"/>
        <w:rPr>
          <w:rFonts w:asciiTheme="minorHAnsi" w:hAnsiTheme="minorHAnsi"/>
          <w:sz w:val="22"/>
          <w:szCs w:val="22"/>
        </w:rPr>
      </w:pPr>
      <w:r w:rsidRPr="004D344A">
        <w:rPr>
          <w:rFonts w:asciiTheme="minorHAnsi" w:hAnsiTheme="minorHAnsi"/>
          <w:sz w:val="22"/>
          <w:szCs w:val="22"/>
        </w:rPr>
        <w:t>Exa</w:t>
      </w:r>
      <w:r>
        <w:rPr>
          <w:rFonts w:asciiTheme="minorHAnsi" w:hAnsiTheme="minorHAnsi"/>
          <w:sz w:val="22"/>
          <w:szCs w:val="22"/>
        </w:rPr>
        <w:t>mples of support issues to be addressed include:</w:t>
      </w:r>
    </w:p>
    <w:p w:rsidR="00E55A07" w:rsidRDefault="00E55A07" w:rsidP="00E55A07">
      <w:pPr>
        <w:numPr>
          <w:ilvl w:val="0"/>
          <w:numId w:val="15"/>
        </w:numPr>
        <w:spacing w:before="100" w:beforeAutospacing="1" w:after="100" w:afterAutospacing="1" w:line="240" w:lineRule="auto"/>
      </w:pPr>
      <w:r>
        <w:t>Suitable transport</w:t>
      </w:r>
    </w:p>
    <w:p w:rsidR="00E55A07" w:rsidRDefault="00E55A07" w:rsidP="00E55A07">
      <w:pPr>
        <w:numPr>
          <w:ilvl w:val="0"/>
          <w:numId w:val="15"/>
        </w:numPr>
        <w:spacing w:before="100" w:beforeAutospacing="1" w:after="100" w:afterAutospacing="1" w:line="240" w:lineRule="auto"/>
      </w:pPr>
      <w:r>
        <w:t>Caring for dependants (for example, childcare or care of older people)</w:t>
      </w:r>
    </w:p>
    <w:p w:rsidR="00E55A07" w:rsidRDefault="00E55A07" w:rsidP="00E55A07">
      <w:pPr>
        <w:numPr>
          <w:ilvl w:val="0"/>
          <w:numId w:val="15"/>
        </w:numPr>
        <w:spacing w:before="100" w:beforeAutospacing="1" w:after="100" w:afterAutospacing="1" w:line="240" w:lineRule="auto"/>
      </w:pPr>
      <w:r>
        <w:t>Personal assistance or personal care</w:t>
      </w:r>
    </w:p>
    <w:p w:rsidR="00E55A07" w:rsidRDefault="00E55A07" w:rsidP="00E55A07">
      <w:pPr>
        <w:numPr>
          <w:ilvl w:val="0"/>
          <w:numId w:val="15"/>
        </w:numPr>
        <w:spacing w:before="100" w:beforeAutospacing="1" w:after="100" w:afterAutospacing="1" w:line="240" w:lineRule="auto"/>
      </w:pPr>
      <w:r>
        <w:t>Suitable and accessible venues and appropriate catering</w:t>
      </w:r>
    </w:p>
    <w:p w:rsidR="00E55A07" w:rsidRDefault="00E55A07" w:rsidP="00E55A07">
      <w:pPr>
        <w:numPr>
          <w:ilvl w:val="0"/>
          <w:numId w:val="15"/>
        </w:numPr>
        <w:spacing w:before="100" w:beforeAutospacing="1" w:after="100" w:afterAutospacing="1" w:line="240" w:lineRule="auto"/>
      </w:pPr>
      <w:r>
        <w:t>Access to interpreters</w:t>
      </w:r>
    </w:p>
    <w:p w:rsidR="00E55A07" w:rsidRDefault="00E55A07" w:rsidP="00E55A07">
      <w:pPr>
        <w:numPr>
          <w:ilvl w:val="0"/>
          <w:numId w:val="15"/>
        </w:numPr>
        <w:spacing w:before="100" w:beforeAutospacing="1" w:after="100" w:afterAutospacing="1" w:line="240" w:lineRule="auto"/>
      </w:pPr>
      <w:r>
        <w:t>Communication aids</w:t>
      </w:r>
    </w:p>
    <w:p w:rsidR="00E55A07" w:rsidRDefault="00E55A07" w:rsidP="00E55A07">
      <w:pPr>
        <w:numPr>
          <w:ilvl w:val="0"/>
          <w:numId w:val="15"/>
        </w:numPr>
        <w:spacing w:before="100" w:beforeAutospacing="1" w:after="100" w:afterAutospacing="1" w:line="240" w:lineRule="auto"/>
      </w:pPr>
      <w:r>
        <w:t>Meetings and events organised at appropriate times</w:t>
      </w:r>
    </w:p>
    <w:p w:rsidR="00E55A07" w:rsidRDefault="00E55A07" w:rsidP="00E55A07">
      <w:pPr>
        <w:numPr>
          <w:ilvl w:val="0"/>
          <w:numId w:val="15"/>
        </w:numPr>
        <w:spacing w:before="100" w:beforeAutospacing="1" w:after="100" w:afterAutospacing="1" w:line="240" w:lineRule="auto"/>
      </w:pPr>
      <w:r>
        <w:t xml:space="preserve">Access to social media, video conferencing and online resources where appropriate </w:t>
      </w:r>
    </w:p>
    <w:p w:rsidR="00E55A07" w:rsidRDefault="00E55A07" w:rsidP="00E55A07">
      <w:pPr>
        <w:numPr>
          <w:ilvl w:val="0"/>
          <w:numId w:val="15"/>
        </w:numPr>
        <w:spacing w:before="100" w:beforeAutospacing="1" w:after="100" w:afterAutospacing="1" w:line="240" w:lineRule="auto"/>
      </w:pPr>
      <w:r>
        <w:t>Out-of-pocket expenses</w:t>
      </w:r>
    </w:p>
    <w:p w:rsidR="00E55A07" w:rsidRDefault="00E55A07" w:rsidP="00E55A07">
      <w:pPr>
        <w:pStyle w:val="Heading2"/>
      </w:pPr>
      <w:r>
        <w:t>National Standard: Planning</w:t>
      </w:r>
    </w:p>
    <w:p w:rsidR="00E55A07" w:rsidRDefault="00E55A07" w:rsidP="00E55A07">
      <w:pPr>
        <w:pStyle w:val="Heading3"/>
      </w:pPr>
      <w:r>
        <w:t xml:space="preserve">There is a clear purpose for the engagement, which is based on a shared understanding of community needs and ambitions. </w:t>
      </w:r>
    </w:p>
    <w:p w:rsidR="00E55A07" w:rsidRPr="00E55A07" w:rsidRDefault="00E55A07" w:rsidP="00E55A07">
      <w:r>
        <w:t>To meet this standard, we need to ensure that:</w:t>
      </w:r>
    </w:p>
    <w:p w:rsidR="00E55A07" w:rsidRDefault="00E55A07" w:rsidP="00E55A07">
      <w:pPr>
        <w:numPr>
          <w:ilvl w:val="0"/>
          <w:numId w:val="16"/>
        </w:numPr>
        <w:spacing w:before="100" w:beforeAutospacing="1" w:after="100" w:afterAutospacing="1" w:line="240" w:lineRule="auto"/>
      </w:pPr>
      <w:r>
        <w:t>Partners are involved at the start of the process in identifying and defining the focus that the engagement will explore</w:t>
      </w:r>
    </w:p>
    <w:p w:rsidR="00E55A07" w:rsidRDefault="00E55A07" w:rsidP="00E55A07">
      <w:pPr>
        <w:numPr>
          <w:ilvl w:val="0"/>
          <w:numId w:val="16"/>
        </w:numPr>
        <w:spacing w:before="100" w:beforeAutospacing="1" w:after="100" w:afterAutospacing="1" w:line="240" w:lineRule="auto"/>
      </w:pPr>
      <w:r>
        <w:t>There is a clear and agreed engagement plan in place</w:t>
      </w:r>
    </w:p>
    <w:p w:rsidR="00E55A07" w:rsidRDefault="00E55A07" w:rsidP="00E55A07">
      <w:pPr>
        <w:numPr>
          <w:ilvl w:val="0"/>
          <w:numId w:val="16"/>
        </w:numPr>
        <w:spacing w:before="100" w:beforeAutospacing="1" w:after="100" w:afterAutospacing="1" w:line="240" w:lineRule="auto"/>
      </w:pPr>
      <w:r>
        <w:t>All available information which can affect the engagement process has been shared and used to develo</w:t>
      </w:r>
      <w:r w:rsidR="00A61905">
        <w:t>p the community engagement plan</w:t>
      </w:r>
    </w:p>
    <w:p w:rsidR="00E55A07" w:rsidRDefault="00E55A07" w:rsidP="00E55A07">
      <w:pPr>
        <w:numPr>
          <w:ilvl w:val="0"/>
          <w:numId w:val="16"/>
        </w:numPr>
        <w:spacing w:before="100" w:beforeAutospacing="1" w:after="100" w:afterAutospacing="1" w:line="240" w:lineRule="auto"/>
      </w:pPr>
      <w:r>
        <w:t>Partners agree what the outcomes of the engagement process should be, what indicators will be used to measure success, and what evidence will be gathered</w:t>
      </w:r>
    </w:p>
    <w:p w:rsidR="00E55A07" w:rsidRDefault="00E55A07" w:rsidP="00E55A07">
      <w:pPr>
        <w:numPr>
          <w:ilvl w:val="0"/>
          <w:numId w:val="16"/>
        </w:numPr>
        <w:spacing w:before="100" w:beforeAutospacing="1" w:after="100" w:afterAutospacing="1" w:line="240" w:lineRule="auto"/>
      </w:pPr>
      <w:r>
        <w:t>The timescales for the engagement process are realistic</w:t>
      </w:r>
    </w:p>
    <w:p w:rsidR="00E55A07" w:rsidRDefault="00E55A07" w:rsidP="00E55A07">
      <w:pPr>
        <w:numPr>
          <w:ilvl w:val="0"/>
          <w:numId w:val="16"/>
        </w:numPr>
        <w:spacing w:before="100" w:beforeAutospacing="1" w:after="100" w:afterAutospacing="1" w:line="240" w:lineRule="auto"/>
      </w:pPr>
      <w:r>
        <w:t>There are sufficient resources to support an effective engagement process.</w:t>
      </w:r>
    </w:p>
    <w:p w:rsidR="00A8197C" w:rsidRDefault="00A8197C" w:rsidP="00433285">
      <w:pPr>
        <w:pStyle w:val="Heading2"/>
      </w:pPr>
      <w:r>
        <w:t>National Standard: Working Together</w:t>
      </w:r>
    </w:p>
    <w:p w:rsidR="00A8197C" w:rsidRDefault="00A8197C" w:rsidP="00A8197C">
      <w:pPr>
        <w:pStyle w:val="Heading3"/>
      </w:pPr>
      <w:r>
        <w:t xml:space="preserve">We will work effectively together to achieve the aims of the engagement. </w:t>
      </w:r>
    </w:p>
    <w:p w:rsidR="00A8197C" w:rsidRPr="00A8197C" w:rsidRDefault="00A8197C" w:rsidP="00A8197C">
      <w:r>
        <w:t>To meet this requirement</w:t>
      </w:r>
      <w:r w:rsidR="008316C0">
        <w:t>,</w:t>
      </w:r>
      <w:r>
        <w:t xml:space="preserve"> we have to ensure that:</w:t>
      </w:r>
    </w:p>
    <w:p w:rsidR="00A8197C" w:rsidRDefault="00A8197C" w:rsidP="00A8197C">
      <w:pPr>
        <w:numPr>
          <w:ilvl w:val="0"/>
          <w:numId w:val="17"/>
        </w:numPr>
        <w:spacing w:before="100" w:beforeAutospacing="1" w:after="100" w:afterAutospacing="1" w:line="240" w:lineRule="auto"/>
      </w:pPr>
      <w:r>
        <w:t>The roles and responsibilities of everyone involved are clear and understood</w:t>
      </w:r>
    </w:p>
    <w:p w:rsidR="00A8197C" w:rsidRDefault="00A8197C" w:rsidP="00A8197C">
      <w:pPr>
        <w:numPr>
          <w:ilvl w:val="0"/>
          <w:numId w:val="17"/>
        </w:numPr>
        <w:spacing w:before="100" w:beforeAutospacing="1" w:after="100" w:afterAutospacing="1" w:line="240" w:lineRule="auto"/>
      </w:pPr>
      <w:r>
        <w:t>Decision-making processes and procedures are agreed and followed</w:t>
      </w:r>
    </w:p>
    <w:p w:rsidR="00A8197C" w:rsidRDefault="00A8197C" w:rsidP="00A8197C">
      <w:pPr>
        <w:numPr>
          <w:ilvl w:val="0"/>
          <w:numId w:val="17"/>
        </w:numPr>
        <w:spacing w:before="100" w:beforeAutospacing="1" w:after="100" w:afterAutospacing="1" w:line="240" w:lineRule="auto"/>
      </w:pPr>
      <w:r>
        <w:t xml:space="preserve">The methods of communication used during the engagement process meet the needs of all participants </w:t>
      </w:r>
    </w:p>
    <w:p w:rsidR="00A8197C" w:rsidRDefault="00A8197C" w:rsidP="00A8197C">
      <w:pPr>
        <w:numPr>
          <w:ilvl w:val="0"/>
          <w:numId w:val="17"/>
        </w:numPr>
        <w:spacing w:before="100" w:beforeAutospacing="1" w:after="100" w:afterAutospacing="1" w:line="240" w:lineRule="auto"/>
      </w:pPr>
      <w:r>
        <w:t>Information that is important to the engagement process is accessible and shared in time for all participants to properly read and understand it</w:t>
      </w:r>
    </w:p>
    <w:p w:rsidR="00A8197C" w:rsidRDefault="00A8197C" w:rsidP="00A8197C">
      <w:pPr>
        <w:numPr>
          <w:ilvl w:val="0"/>
          <w:numId w:val="17"/>
        </w:numPr>
        <w:spacing w:before="100" w:beforeAutospacing="1" w:after="100" w:afterAutospacing="1" w:line="240" w:lineRule="auto"/>
      </w:pPr>
      <w:r>
        <w:t>Communication between all participants is open, honest and clear</w:t>
      </w:r>
    </w:p>
    <w:p w:rsidR="00A8197C" w:rsidRDefault="00A8197C" w:rsidP="00A8197C">
      <w:pPr>
        <w:numPr>
          <w:ilvl w:val="0"/>
          <w:numId w:val="17"/>
        </w:numPr>
        <w:spacing w:before="100" w:beforeAutospacing="1" w:after="100" w:afterAutospacing="1" w:line="240" w:lineRule="auto"/>
      </w:pPr>
      <w:r>
        <w:t>The community engagement process is based on trust and mutual respect</w:t>
      </w:r>
    </w:p>
    <w:p w:rsidR="00A8197C" w:rsidRDefault="00A8197C" w:rsidP="00A8197C">
      <w:pPr>
        <w:numPr>
          <w:ilvl w:val="0"/>
          <w:numId w:val="17"/>
        </w:numPr>
        <w:spacing w:before="100" w:beforeAutospacing="1" w:after="100" w:afterAutospacing="1" w:line="240" w:lineRule="auto"/>
      </w:pPr>
      <w:r>
        <w:t>Participants are supported to develop their skills and confidence during the engagement.</w:t>
      </w:r>
    </w:p>
    <w:p w:rsidR="00A8197C" w:rsidRDefault="00A8197C" w:rsidP="00A8197C">
      <w:pPr>
        <w:pStyle w:val="Heading2"/>
      </w:pPr>
      <w:r>
        <w:t>National Standard: Method</w:t>
      </w:r>
    </w:p>
    <w:p w:rsidR="00A8197C" w:rsidRDefault="00A8197C" w:rsidP="00A8197C">
      <w:pPr>
        <w:pStyle w:val="Heading3"/>
      </w:pPr>
      <w:r>
        <w:t>We will use methods of engagement that are fit for purpose.</w:t>
      </w:r>
    </w:p>
    <w:p w:rsidR="00A8197C" w:rsidRDefault="00A8197C" w:rsidP="00A8197C">
      <w:r>
        <w:t>We will use:</w:t>
      </w:r>
    </w:p>
    <w:p w:rsidR="00A8197C" w:rsidRDefault="00A8197C" w:rsidP="00A8197C">
      <w:pPr>
        <w:pStyle w:val="ListParagraph"/>
        <w:numPr>
          <w:ilvl w:val="0"/>
          <w:numId w:val="11"/>
        </w:numPr>
      </w:pPr>
      <w:r>
        <w:t>Methods that are appropriate for the purpose of the engagement</w:t>
      </w:r>
    </w:p>
    <w:p w:rsidR="00A8197C" w:rsidRDefault="00A8197C" w:rsidP="00A8197C">
      <w:pPr>
        <w:pStyle w:val="ListParagraph"/>
        <w:numPr>
          <w:ilvl w:val="0"/>
          <w:numId w:val="11"/>
        </w:numPr>
        <w:spacing w:before="100" w:beforeAutospacing="1" w:after="100" w:afterAutospacing="1" w:line="240" w:lineRule="auto"/>
      </w:pPr>
      <w:r>
        <w:t>method are acceptable and accessible to participants</w:t>
      </w:r>
    </w:p>
    <w:p w:rsidR="00A8197C" w:rsidRDefault="00A8197C" w:rsidP="00A8197C">
      <w:pPr>
        <w:pStyle w:val="ListParagraph"/>
        <w:numPr>
          <w:ilvl w:val="0"/>
          <w:numId w:val="11"/>
        </w:numPr>
        <w:spacing w:before="100" w:beforeAutospacing="1" w:after="100" w:afterAutospacing="1" w:line="240" w:lineRule="auto"/>
      </w:pPr>
      <w:r>
        <w:t xml:space="preserve">A variety of methods throughout the engagement to make sure that a wide range of voices is heard </w:t>
      </w:r>
    </w:p>
    <w:p w:rsidR="00A8197C" w:rsidRDefault="00A8197C" w:rsidP="00A8197C">
      <w:pPr>
        <w:pStyle w:val="ListParagraph"/>
        <w:numPr>
          <w:ilvl w:val="0"/>
          <w:numId w:val="11"/>
        </w:numPr>
        <w:spacing w:before="100" w:beforeAutospacing="1" w:after="100" w:afterAutospacing="1" w:line="240" w:lineRule="auto"/>
      </w:pPr>
      <w:proofErr w:type="gramStart"/>
      <w:r>
        <w:t>creative</w:t>
      </w:r>
      <w:proofErr w:type="gramEnd"/>
      <w:r>
        <w:t xml:space="preserve"> methods which encourage maximum participation and effective dialogue. </w:t>
      </w:r>
    </w:p>
    <w:p w:rsidR="00A8197C" w:rsidRDefault="00A8197C" w:rsidP="00A8197C">
      <w:pPr>
        <w:spacing w:before="100" w:beforeAutospacing="1" w:after="100" w:afterAutospacing="1" w:line="240" w:lineRule="auto"/>
      </w:pPr>
      <w:r>
        <w:t xml:space="preserve">We will evaluate and adapt methods, if necessary, in response to feedback from participants and partners. </w:t>
      </w:r>
    </w:p>
    <w:p w:rsidR="00A8197C" w:rsidRPr="004A5F98" w:rsidRDefault="00A8197C" w:rsidP="00A8197C">
      <w:pPr>
        <w:pStyle w:val="ListParagraph"/>
        <w:numPr>
          <w:ilvl w:val="0"/>
          <w:numId w:val="12"/>
        </w:numPr>
        <w:rPr>
          <w:rFonts w:cs="Arial"/>
          <w:b/>
        </w:rPr>
      </w:pPr>
      <w:r>
        <w:rPr>
          <w:rFonts w:cs="Arial"/>
        </w:rPr>
        <w:t xml:space="preserve">targeted short-life working groups  </w:t>
      </w:r>
    </w:p>
    <w:p w:rsidR="00A8197C" w:rsidRPr="004A5F98" w:rsidRDefault="00A8197C" w:rsidP="00A8197C">
      <w:pPr>
        <w:pStyle w:val="ListParagraph"/>
        <w:numPr>
          <w:ilvl w:val="0"/>
          <w:numId w:val="12"/>
        </w:numPr>
        <w:rPr>
          <w:rFonts w:cs="Arial"/>
          <w:b/>
        </w:rPr>
      </w:pPr>
      <w:r>
        <w:rPr>
          <w:rFonts w:cs="Arial"/>
        </w:rPr>
        <w:t>focus groups</w:t>
      </w:r>
    </w:p>
    <w:p w:rsidR="00A8197C" w:rsidRPr="004A5F98" w:rsidRDefault="00A8197C" w:rsidP="00A8197C">
      <w:pPr>
        <w:pStyle w:val="ListParagraph"/>
        <w:numPr>
          <w:ilvl w:val="0"/>
          <w:numId w:val="12"/>
        </w:numPr>
        <w:rPr>
          <w:rFonts w:cs="Arial"/>
          <w:b/>
        </w:rPr>
      </w:pPr>
      <w:r>
        <w:rPr>
          <w:rFonts w:cs="Arial"/>
        </w:rPr>
        <w:t>Citizens/Health panels</w:t>
      </w:r>
    </w:p>
    <w:p w:rsidR="00A8197C" w:rsidRDefault="00A8197C" w:rsidP="00A8197C">
      <w:pPr>
        <w:pStyle w:val="ListParagraph"/>
        <w:numPr>
          <w:ilvl w:val="0"/>
          <w:numId w:val="12"/>
        </w:numPr>
        <w:spacing w:before="100" w:beforeAutospacing="1" w:after="100" w:afterAutospacing="1" w:line="240" w:lineRule="auto"/>
      </w:pPr>
      <w:r>
        <w:t>public meetings</w:t>
      </w:r>
    </w:p>
    <w:p w:rsidR="00A8197C" w:rsidRDefault="00A8197C" w:rsidP="00A8197C">
      <w:pPr>
        <w:pStyle w:val="ListParagraph"/>
        <w:numPr>
          <w:ilvl w:val="0"/>
          <w:numId w:val="12"/>
        </w:numPr>
        <w:spacing w:before="100" w:beforeAutospacing="1" w:after="100" w:afterAutospacing="1" w:line="240" w:lineRule="auto"/>
      </w:pPr>
      <w:r>
        <w:t>questionnaires</w:t>
      </w:r>
    </w:p>
    <w:p w:rsidR="00A8197C" w:rsidRDefault="00A8197C" w:rsidP="00A8197C">
      <w:pPr>
        <w:pStyle w:val="ListParagraph"/>
        <w:numPr>
          <w:ilvl w:val="0"/>
          <w:numId w:val="12"/>
        </w:numPr>
        <w:spacing w:before="100" w:beforeAutospacing="1" w:after="100" w:afterAutospacing="1" w:line="240" w:lineRule="auto"/>
      </w:pPr>
      <w:r>
        <w:t>online surveys</w:t>
      </w:r>
    </w:p>
    <w:p w:rsidR="00A8197C" w:rsidRDefault="00A8197C" w:rsidP="00A8197C">
      <w:pPr>
        <w:pStyle w:val="ListParagraph"/>
        <w:numPr>
          <w:ilvl w:val="0"/>
          <w:numId w:val="12"/>
        </w:numPr>
        <w:spacing w:before="100" w:beforeAutospacing="1" w:after="100" w:afterAutospacing="1" w:line="240" w:lineRule="auto"/>
      </w:pPr>
      <w:r>
        <w:t>social-media campaigns</w:t>
      </w:r>
    </w:p>
    <w:p w:rsidR="00A8197C" w:rsidRDefault="00A8197C" w:rsidP="00A8197C">
      <w:pPr>
        <w:pStyle w:val="ListParagraph"/>
        <w:numPr>
          <w:ilvl w:val="0"/>
          <w:numId w:val="12"/>
        </w:numPr>
        <w:spacing w:before="100" w:beforeAutospacing="1" w:after="100" w:afterAutospacing="1" w:line="240" w:lineRule="auto"/>
      </w:pPr>
      <w:r>
        <w:t>video case studies</w:t>
      </w:r>
    </w:p>
    <w:p w:rsidR="00A8197C" w:rsidRDefault="00A8197C" w:rsidP="00A8197C">
      <w:pPr>
        <w:pStyle w:val="ListParagraph"/>
        <w:numPr>
          <w:ilvl w:val="0"/>
          <w:numId w:val="12"/>
        </w:numPr>
        <w:spacing w:before="100" w:beforeAutospacing="1" w:after="100" w:afterAutospacing="1" w:line="240" w:lineRule="auto"/>
      </w:pPr>
      <w:proofErr w:type="gramStart"/>
      <w:r>
        <w:t>partner</w:t>
      </w:r>
      <w:proofErr w:type="gramEnd"/>
      <w:r>
        <w:t xml:space="preserve"> and stakeholder group consultation and engagement networks.</w:t>
      </w:r>
    </w:p>
    <w:p w:rsidR="00A8197C" w:rsidRDefault="00A8197C" w:rsidP="00A8197C">
      <w:pPr>
        <w:spacing w:before="100" w:beforeAutospacing="1" w:after="100" w:afterAutospacing="1" w:line="240" w:lineRule="auto"/>
      </w:pPr>
      <w:r>
        <w:t>We would also like to look at other approaches such as participatory budgeting and community action research, blogs and My Place events.</w:t>
      </w:r>
    </w:p>
    <w:p w:rsidR="00A8197C" w:rsidRDefault="00433285" w:rsidP="00433285">
      <w:pPr>
        <w:pStyle w:val="Heading2"/>
      </w:pPr>
      <w:r>
        <w:t xml:space="preserve">National Standard: </w:t>
      </w:r>
      <w:r w:rsidR="00A8197C">
        <w:t xml:space="preserve">Communication </w:t>
      </w:r>
    </w:p>
    <w:p w:rsidR="00A8197C" w:rsidRDefault="00A8197C" w:rsidP="00A8197C">
      <w:pPr>
        <w:pStyle w:val="Heading3"/>
      </w:pPr>
      <w:r>
        <w:t>We will communicate clearly and regularly with the people, organisations and communities affected by the engagement.</w:t>
      </w:r>
    </w:p>
    <w:p w:rsidR="008316C0" w:rsidRPr="008316C0" w:rsidRDefault="008316C0" w:rsidP="008316C0">
      <w:r>
        <w:t>To meet this requirement, we need to ensure that:</w:t>
      </w:r>
    </w:p>
    <w:p w:rsidR="00A8197C" w:rsidRDefault="00A8197C" w:rsidP="00A8197C">
      <w:pPr>
        <w:numPr>
          <w:ilvl w:val="0"/>
          <w:numId w:val="18"/>
        </w:numPr>
        <w:spacing w:before="100" w:beforeAutospacing="1" w:after="100" w:afterAutospacing="1" w:line="240" w:lineRule="auto"/>
      </w:pPr>
      <w:r>
        <w:t>Information on the community engagement process, and what has happened as a result, is clear and easy to access and understand</w:t>
      </w:r>
    </w:p>
    <w:p w:rsidR="00A8197C" w:rsidRDefault="00A8197C" w:rsidP="00A8197C">
      <w:pPr>
        <w:numPr>
          <w:ilvl w:val="0"/>
          <w:numId w:val="18"/>
        </w:numPr>
        <w:spacing w:before="100" w:beforeAutospacing="1" w:after="100" w:afterAutospacing="1" w:line="240" w:lineRule="auto"/>
      </w:pPr>
      <w:r>
        <w:t>Information is made available in appropriate formats</w:t>
      </w:r>
    </w:p>
    <w:p w:rsidR="00A8197C" w:rsidRDefault="004E0DC1" w:rsidP="00A8197C">
      <w:pPr>
        <w:numPr>
          <w:ilvl w:val="0"/>
          <w:numId w:val="18"/>
        </w:numPr>
        <w:spacing w:before="100" w:beforeAutospacing="1" w:after="100" w:afterAutospacing="1" w:line="240" w:lineRule="auto"/>
      </w:pPr>
      <w:r w:rsidRPr="004E0DC1">
        <w:rPr>
          <w:noProof/>
          <w:lang w:val="en-US" w:eastAsia="zh-TW"/>
        </w:rPr>
        <w:pict>
          <v:shape id="_x0000_s1042" type="#_x0000_t186" style="position:absolute;left:0;text-align:left;margin-left:200.65pt;margin-top:134.8pt;width:353.9pt;height:180.4pt;rotation:90;z-index:251664384;mso-width-percent:400;mso-position-horizontal-relative:margin;mso-position-vertical-relative:page;mso-width-percent:400;mso-width-relative:margin;mso-height-relative:margin;v-text-anchor:middle" o:allowincell="f" filled="t" fillcolor="#1f497d [3215]" stroked="f" strokecolor="#5c83b4" strokeweight=".25pt">
            <v:shadow opacity=".5"/>
            <v:textbox style="mso-next-textbox:#_x0000_s1042;mso-fit-shape-to-text:t">
              <w:txbxContent>
                <w:p w:rsidR="00433285" w:rsidRPr="008316C0" w:rsidRDefault="00433285" w:rsidP="008316C0">
                  <w:pPr>
                    <w:autoSpaceDE w:val="0"/>
                    <w:adjustRightInd w:val="0"/>
                    <w:rPr>
                      <w:rFonts w:cs="Arial"/>
                      <w:color w:val="FFFFFF" w:themeColor="background1"/>
                    </w:rPr>
                  </w:pPr>
                  <w:r w:rsidRPr="008316C0">
                    <w:rPr>
                      <w:rFonts w:cs="Arial"/>
                      <w:color w:val="FFFFFF" w:themeColor="background1"/>
                    </w:rPr>
                    <w:t xml:space="preserve">East Lothian Health and Social Care Partnership </w:t>
                  </w:r>
                  <w:proofErr w:type="gramStart"/>
                  <w:r w:rsidRPr="008316C0">
                    <w:rPr>
                      <w:rFonts w:cs="Arial"/>
                      <w:color w:val="FFFFFF" w:themeColor="background1"/>
                    </w:rPr>
                    <w:t>is</w:t>
                  </w:r>
                  <w:proofErr w:type="gramEnd"/>
                  <w:r w:rsidRPr="008316C0">
                    <w:rPr>
                      <w:rFonts w:cs="Arial"/>
                      <w:color w:val="FFFFFF" w:themeColor="background1"/>
                    </w:rPr>
                    <w:t xml:space="preserve"> keen to ensure it uses the right channels and materials to engage with different groups.  We will identify, listen to, involve and consult individuals and groups that find it hard to have their say because they are socially excluded or vulnerable. </w:t>
                  </w:r>
                </w:p>
                <w:p w:rsidR="00433285" w:rsidRPr="008316C0" w:rsidRDefault="00433285" w:rsidP="008316C0">
                  <w:pPr>
                    <w:autoSpaceDE w:val="0"/>
                    <w:adjustRightInd w:val="0"/>
                    <w:rPr>
                      <w:rFonts w:cs="Arial"/>
                      <w:color w:val="FFFFFF" w:themeColor="background1"/>
                    </w:rPr>
                  </w:pPr>
                  <w:r w:rsidRPr="008316C0">
                    <w:rPr>
                      <w:rFonts w:cs="Arial"/>
                      <w:color w:val="FFFFFF" w:themeColor="background1"/>
                    </w:rPr>
                    <w:t>Where required and appropriate we will use methods such as easy read formats of literature, offer translations of information and go along to community groups to talk about the work of the HSCP rather than relying on people to read material.</w:t>
                  </w:r>
                  <w:r>
                    <w:rPr>
                      <w:rFonts w:cs="Arial"/>
                      <w:color w:val="FFFFFF" w:themeColor="background1"/>
                    </w:rPr>
                    <w:t xml:space="preserve">  </w:t>
                  </w:r>
                  <w:r w:rsidRPr="008316C0">
                    <w:rPr>
                      <w:rFonts w:cs="Arial"/>
                      <w:b/>
                      <w:color w:val="FFFFFF" w:themeColor="background1"/>
                    </w:rPr>
                    <w:t>(East Lothian Communications and Engagement Strategy 2014 – 2017)</w:t>
                  </w:r>
                </w:p>
                <w:p w:rsidR="00433285" w:rsidRDefault="00433285">
                  <w:pPr>
                    <w:spacing w:after="0" w:line="288" w:lineRule="auto"/>
                    <w:jc w:val="center"/>
                    <w:rPr>
                      <w:rFonts w:asciiTheme="majorHAnsi" w:eastAsiaTheme="majorEastAsia" w:hAnsiTheme="majorHAnsi" w:cstheme="majorBidi"/>
                      <w:i/>
                      <w:iCs/>
                      <w:color w:val="D3DFEE" w:themeColor="accent1" w:themeTint="3F"/>
                      <w:sz w:val="28"/>
                      <w:szCs w:val="28"/>
                    </w:rPr>
                  </w:pPr>
                </w:p>
              </w:txbxContent>
            </v:textbox>
            <w10:wrap type="square" anchorx="margin" anchory="page"/>
          </v:shape>
        </w:pict>
      </w:r>
      <w:r w:rsidR="00A8197C">
        <w:t>Without breaking confidentiality, participants have access to all information that is relevant to the engagement</w:t>
      </w:r>
    </w:p>
    <w:p w:rsidR="00A8197C" w:rsidRDefault="00A8197C" w:rsidP="00A8197C">
      <w:pPr>
        <w:numPr>
          <w:ilvl w:val="0"/>
          <w:numId w:val="18"/>
        </w:numPr>
        <w:spacing w:before="100" w:beforeAutospacing="1" w:after="100" w:afterAutospacing="1" w:line="240" w:lineRule="auto"/>
      </w:pPr>
      <w:r>
        <w:t>Systems are in place to make sure the views of the wider community continuously help to shape the engagement process</w:t>
      </w:r>
    </w:p>
    <w:p w:rsidR="00A8197C" w:rsidRDefault="00A8197C" w:rsidP="00A8197C">
      <w:pPr>
        <w:numPr>
          <w:ilvl w:val="0"/>
          <w:numId w:val="18"/>
        </w:numPr>
        <w:spacing w:before="100" w:beforeAutospacing="1" w:after="100" w:afterAutospacing="1" w:line="240" w:lineRule="auto"/>
      </w:pPr>
      <w:r>
        <w:t>Feedback is a true representation of the range of views expressed during the engagement process</w:t>
      </w:r>
    </w:p>
    <w:p w:rsidR="00A8197C" w:rsidRDefault="00A8197C" w:rsidP="00A8197C">
      <w:pPr>
        <w:numPr>
          <w:ilvl w:val="0"/>
          <w:numId w:val="18"/>
        </w:numPr>
        <w:spacing w:before="100" w:beforeAutospacing="1" w:after="100" w:afterAutospacing="1" w:line="240" w:lineRule="auto"/>
      </w:pPr>
      <w:r>
        <w:t xml:space="preserve">Feedback includes information on: the engagement process; the options which have been considered; and the decisions and actions that have been </w:t>
      </w:r>
      <w:proofErr w:type="gramStart"/>
      <w:r>
        <w:t>agreed,</w:t>
      </w:r>
      <w:proofErr w:type="gramEnd"/>
      <w:r>
        <w:t xml:space="preserve"> and the reasons why. </w:t>
      </w:r>
    </w:p>
    <w:p w:rsidR="00E55A07" w:rsidRDefault="008316C0" w:rsidP="00E55A07">
      <w:pPr>
        <w:spacing w:before="100" w:beforeAutospacing="1" w:after="100" w:afterAutospacing="1" w:line="240" w:lineRule="auto"/>
      </w:pPr>
      <w:r>
        <w:t xml:space="preserve">Examples of current good practice include providing regular feedback through the Consultation Hub, on the ELHSCP web pages, in newsletters and by video and podcast. These are all areas we are very keen to </w:t>
      </w:r>
      <w:r w:rsidR="00345BFE">
        <w:t>explore further.</w:t>
      </w:r>
    </w:p>
    <w:p w:rsidR="00345BFE" w:rsidRDefault="00345BFE" w:rsidP="00433285">
      <w:pPr>
        <w:pStyle w:val="Heading2"/>
      </w:pPr>
      <w:r>
        <w:t> </w:t>
      </w:r>
      <w:r w:rsidR="00433285">
        <w:t xml:space="preserve">National Standard: </w:t>
      </w:r>
      <w:r>
        <w:t>Impact</w:t>
      </w:r>
    </w:p>
    <w:p w:rsidR="00345BFE" w:rsidRDefault="00345BFE" w:rsidP="00345BFE">
      <w:pPr>
        <w:pStyle w:val="Heading3"/>
      </w:pPr>
      <w:r>
        <w:t>We will assess the impact of the engagement and use what we have learned to improve our future community engagement.</w:t>
      </w:r>
    </w:p>
    <w:p w:rsidR="00345BFE" w:rsidRPr="00345BFE" w:rsidRDefault="00345BFE" w:rsidP="00345BFE">
      <w:pPr>
        <w:pStyle w:val="NormalWeb"/>
        <w:rPr>
          <w:rFonts w:asciiTheme="minorHAnsi" w:hAnsiTheme="minorHAnsi"/>
          <w:sz w:val="22"/>
          <w:szCs w:val="22"/>
        </w:rPr>
      </w:pPr>
      <w:r w:rsidRPr="00345BFE">
        <w:rPr>
          <w:rFonts w:asciiTheme="minorHAnsi" w:hAnsiTheme="minorHAnsi"/>
          <w:sz w:val="22"/>
          <w:szCs w:val="22"/>
        </w:rPr>
        <w:t>How will we know we have met this Standard?</w:t>
      </w:r>
    </w:p>
    <w:p w:rsidR="00345BFE" w:rsidRPr="00345BFE" w:rsidRDefault="00345BFE" w:rsidP="00345BFE">
      <w:pPr>
        <w:numPr>
          <w:ilvl w:val="0"/>
          <w:numId w:val="19"/>
        </w:numPr>
        <w:spacing w:before="100" w:beforeAutospacing="1" w:after="100" w:afterAutospacing="1" w:line="240" w:lineRule="auto"/>
      </w:pPr>
      <w:r w:rsidRPr="00345BFE">
        <w:t>The outcomes the engagement proc</w:t>
      </w:r>
      <w:r>
        <w:t>ess intended to achieve are met</w:t>
      </w:r>
    </w:p>
    <w:p w:rsidR="00345BFE" w:rsidRPr="00345BFE" w:rsidRDefault="00345BFE" w:rsidP="00345BFE">
      <w:pPr>
        <w:numPr>
          <w:ilvl w:val="0"/>
          <w:numId w:val="19"/>
        </w:numPr>
        <w:spacing w:before="100" w:beforeAutospacing="1" w:after="100" w:afterAutospacing="1" w:line="240" w:lineRule="auto"/>
      </w:pPr>
      <w:r w:rsidRPr="00345BFE">
        <w:t>Decisions which are taken reflect the views of participants in th</w:t>
      </w:r>
      <w:r>
        <w:t>e community engagement process</w:t>
      </w:r>
    </w:p>
    <w:p w:rsidR="00345BFE" w:rsidRPr="00345BFE" w:rsidRDefault="00345BFE" w:rsidP="00345BFE">
      <w:pPr>
        <w:numPr>
          <w:ilvl w:val="0"/>
          <w:numId w:val="19"/>
        </w:numPr>
        <w:spacing w:before="100" w:beforeAutospacing="1" w:after="100" w:afterAutospacing="1" w:line="240" w:lineRule="auto"/>
      </w:pPr>
      <w:r w:rsidRPr="00345BFE">
        <w:t>Local outcomes, or services, are improved as r</w:t>
      </w:r>
      <w:r>
        <w:t>esult of the engagement process</w:t>
      </w:r>
    </w:p>
    <w:p w:rsidR="00345BFE" w:rsidRPr="00345BFE" w:rsidRDefault="00345BFE" w:rsidP="00345BFE">
      <w:pPr>
        <w:numPr>
          <w:ilvl w:val="0"/>
          <w:numId w:val="19"/>
        </w:numPr>
        <w:spacing w:before="100" w:beforeAutospacing="1" w:after="100" w:afterAutospacing="1" w:line="240" w:lineRule="auto"/>
      </w:pPr>
      <w:r w:rsidRPr="00345BFE">
        <w:t>Participants have improved skills, confidence and ability to take part in com</w:t>
      </w:r>
      <w:r>
        <w:t>munity engagement in the future</w:t>
      </w:r>
    </w:p>
    <w:p w:rsidR="00345BFE" w:rsidRPr="00345BFE" w:rsidRDefault="00345BFE" w:rsidP="00345BFE">
      <w:pPr>
        <w:numPr>
          <w:ilvl w:val="0"/>
          <w:numId w:val="19"/>
        </w:numPr>
        <w:spacing w:before="100" w:beforeAutospacing="1" w:after="100" w:afterAutospacing="1" w:line="240" w:lineRule="auto"/>
      </w:pPr>
      <w:r w:rsidRPr="00345BFE">
        <w:t>Partners are involved in monitoring and reviewing the quality of the engagement process and</w:t>
      </w:r>
      <w:r>
        <w:t xml:space="preserve"> what has happened as a result</w:t>
      </w:r>
    </w:p>
    <w:p w:rsidR="00345BFE" w:rsidRPr="00345BFE" w:rsidRDefault="00345BFE" w:rsidP="00345BFE">
      <w:pPr>
        <w:numPr>
          <w:ilvl w:val="0"/>
          <w:numId w:val="19"/>
        </w:numPr>
        <w:spacing w:before="100" w:beforeAutospacing="1" w:after="100" w:afterAutospacing="1" w:line="240" w:lineRule="auto"/>
      </w:pPr>
      <w:r w:rsidRPr="00345BFE">
        <w:t>Feedback is provided to the wider community on how the engagement process has influenced decisions and what has changed as a resul</w:t>
      </w:r>
      <w:r>
        <w:t>t</w:t>
      </w:r>
    </w:p>
    <w:p w:rsidR="00345BFE" w:rsidRPr="00345BFE" w:rsidRDefault="00345BFE" w:rsidP="00345BFE">
      <w:pPr>
        <w:numPr>
          <w:ilvl w:val="0"/>
          <w:numId w:val="19"/>
        </w:numPr>
        <w:spacing w:before="100" w:beforeAutospacing="1" w:after="100" w:afterAutospacing="1" w:line="240" w:lineRule="auto"/>
      </w:pPr>
      <w:r w:rsidRPr="00345BFE">
        <w:t>Learning and evaluation helps to shape future community engagement processes.</w:t>
      </w:r>
    </w:p>
    <w:p w:rsidR="00095534" w:rsidRDefault="00095534" w:rsidP="00345BFE">
      <w:pPr>
        <w:pStyle w:val="Heading1"/>
      </w:pPr>
      <w:r>
        <w:t>Next steps</w:t>
      </w:r>
    </w:p>
    <w:p w:rsidR="007F0A5B" w:rsidRDefault="00345BFE">
      <w:pPr>
        <w:sectPr w:rsidR="007F0A5B" w:rsidSect="00095534">
          <w:headerReference w:type="default" r:id="rId14"/>
          <w:footerReference w:type="default" r:id="rId15"/>
          <w:pgSz w:w="11906" w:h="16838"/>
          <w:pgMar w:top="1440" w:right="1440" w:bottom="1440" w:left="1440" w:header="708" w:footer="708" w:gutter="0"/>
          <w:cols w:space="708"/>
          <w:titlePg/>
          <w:docGrid w:linePitch="360"/>
        </w:sectPr>
      </w:pPr>
      <w:r>
        <w:t xml:space="preserve">This is a draft strategy that outlines our commitments. </w:t>
      </w:r>
      <w:r w:rsidR="00A61905">
        <w:t>We plan to circulate this</w:t>
      </w:r>
      <w:r w:rsidR="007F0A5B">
        <w:t xml:space="preserve"> for consultation</w:t>
      </w:r>
      <w:r w:rsidR="00A61905">
        <w:t xml:space="preserve"> to our stakeholders through a range of networks, including the Consultation Hub, local area partnership</w:t>
      </w:r>
      <w:r w:rsidR="007F0A5B">
        <w:t>s</w:t>
      </w:r>
      <w:r w:rsidR="00A61905">
        <w:t xml:space="preserve"> and the third sector interface. This will be accompanied by a questionnaire that asks stakeholders for a wide range of information that will help us build on current good practice, </w:t>
      </w:r>
      <w:r w:rsidR="007F0A5B">
        <w:t xml:space="preserve">identify partners’ consultations that are relevant to this strategy, and map </w:t>
      </w:r>
      <w:r w:rsidR="00A61905">
        <w:t xml:space="preserve">existing community engagement </w:t>
      </w:r>
      <w:r w:rsidR="007F0A5B">
        <w:t>networks.  This will help us to develop a final engagement strategy that ensures true partnership working, enables a wide range of stakeholders to participate and feeds robust information into our strategic planning.</w:t>
      </w:r>
    </w:p>
    <w:p w:rsidR="009028F6" w:rsidRDefault="009028F6" w:rsidP="009028F6">
      <w:pPr>
        <w:pStyle w:val="Heading2"/>
      </w:pPr>
      <w:r>
        <w:t>Draft Action Plan</w:t>
      </w:r>
    </w:p>
    <w:tbl>
      <w:tblPr>
        <w:tblW w:w="147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45"/>
        <w:gridCol w:w="2032"/>
        <w:gridCol w:w="2885"/>
        <w:gridCol w:w="1793"/>
        <w:gridCol w:w="1701"/>
        <w:gridCol w:w="1473"/>
        <w:gridCol w:w="2835"/>
      </w:tblGrid>
      <w:tr w:rsidR="007B5EEF" w:rsidTr="007B5EEF">
        <w:trPr>
          <w:tblHeader/>
        </w:trPr>
        <w:tc>
          <w:tcPr>
            <w:tcW w:w="2045" w:type="dxa"/>
          </w:tcPr>
          <w:p w:rsidR="009028F6" w:rsidRPr="003F75BB" w:rsidRDefault="009028F6" w:rsidP="009028F6">
            <w:pPr>
              <w:pStyle w:val="Heading2"/>
              <w:rPr>
                <w:snapToGrid w:val="0"/>
                <w:color w:val="000000"/>
              </w:rPr>
            </w:pPr>
            <w:r>
              <w:rPr>
                <w:snapToGrid w:val="0"/>
                <w:color w:val="000000"/>
              </w:rPr>
              <w:t>Strategy</w:t>
            </w:r>
          </w:p>
        </w:tc>
        <w:tc>
          <w:tcPr>
            <w:tcW w:w="2032" w:type="dxa"/>
          </w:tcPr>
          <w:p w:rsidR="009028F6" w:rsidRPr="003F75BB" w:rsidRDefault="009028F6" w:rsidP="009028F6">
            <w:pPr>
              <w:pStyle w:val="Heading2"/>
              <w:rPr>
                <w:snapToGrid w:val="0"/>
                <w:color w:val="000000"/>
              </w:rPr>
            </w:pPr>
            <w:r w:rsidRPr="003F75BB">
              <w:rPr>
                <w:snapToGrid w:val="0"/>
                <w:color w:val="000000"/>
              </w:rPr>
              <w:t>Audience</w:t>
            </w:r>
          </w:p>
        </w:tc>
        <w:tc>
          <w:tcPr>
            <w:tcW w:w="2885" w:type="dxa"/>
          </w:tcPr>
          <w:p w:rsidR="009028F6" w:rsidRPr="003F75BB" w:rsidRDefault="009028F6" w:rsidP="009028F6">
            <w:pPr>
              <w:pStyle w:val="Heading2"/>
              <w:rPr>
                <w:snapToGrid w:val="0"/>
                <w:color w:val="000000"/>
              </w:rPr>
            </w:pPr>
            <w:r>
              <w:rPr>
                <w:snapToGrid w:val="0"/>
                <w:color w:val="000000"/>
              </w:rPr>
              <w:t>Consultation and Engagement methods</w:t>
            </w:r>
          </w:p>
        </w:tc>
        <w:tc>
          <w:tcPr>
            <w:tcW w:w="1793" w:type="dxa"/>
          </w:tcPr>
          <w:p w:rsidR="009028F6" w:rsidRPr="003F75BB" w:rsidRDefault="009028F6" w:rsidP="009028F6">
            <w:pPr>
              <w:pStyle w:val="Heading2"/>
              <w:rPr>
                <w:snapToGrid w:val="0"/>
                <w:color w:val="000000"/>
              </w:rPr>
            </w:pPr>
            <w:r w:rsidRPr="003F75BB">
              <w:rPr>
                <w:snapToGrid w:val="0"/>
                <w:color w:val="000000"/>
              </w:rPr>
              <w:t>Lead</w:t>
            </w:r>
          </w:p>
        </w:tc>
        <w:tc>
          <w:tcPr>
            <w:tcW w:w="1701" w:type="dxa"/>
          </w:tcPr>
          <w:p w:rsidR="009028F6" w:rsidRPr="003F75BB" w:rsidRDefault="009028F6" w:rsidP="009028F6">
            <w:pPr>
              <w:pStyle w:val="Heading2"/>
              <w:rPr>
                <w:snapToGrid w:val="0"/>
                <w:color w:val="000000"/>
              </w:rPr>
            </w:pPr>
            <w:r>
              <w:rPr>
                <w:snapToGrid w:val="0"/>
                <w:color w:val="000000"/>
              </w:rPr>
              <w:t>Period</w:t>
            </w:r>
          </w:p>
        </w:tc>
        <w:tc>
          <w:tcPr>
            <w:tcW w:w="1473" w:type="dxa"/>
          </w:tcPr>
          <w:p w:rsidR="009028F6" w:rsidRDefault="009028F6" w:rsidP="009028F6">
            <w:pPr>
              <w:pStyle w:val="Heading2"/>
              <w:rPr>
                <w:snapToGrid w:val="0"/>
                <w:color w:val="000000"/>
              </w:rPr>
            </w:pPr>
            <w:r>
              <w:rPr>
                <w:snapToGrid w:val="0"/>
                <w:color w:val="000000"/>
              </w:rPr>
              <w:t>Feedback</w:t>
            </w:r>
          </w:p>
        </w:tc>
        <w:tc>
          <w:tcPr>
            <w:tcW w:w="2835" w:type="dxa"/>
          </w:tcPr>
          <w:p w:rsidR="009028F6" w:rsidRPr="003F75BB" w:rsidRDefault="009028F6" w:rsidP="009028F6">
            <w:pPr>
              <w:pStyle w:val="Heading2"/>
              <w:rPr>
                <w:snapToGrid w:val="0"/>
                <w:color w:val="000000"/>
              </w:rPr>
            </w:pPr>
            <w:r>
              <w:rPr>
                <w:snapToGrid w:val="0"/>
                <w:color w:val="000000"/>
              </w:rPr>
              <w:t>Impact</w:t>
            </w:r>
          </w:p>
        </w:tc>
      </w:tr>
      <w:tr w:rsidR="007B5EEF" w:rsidTr="007B5EEF">
        <w:tc>
          <w:tcPr>
            <w:tcW w:w="2045" w:type="dxa"/>
          </w:tcPr>
          <w:p w:rsidR="009028F6" w:rsidRPr="00C91A89" w:rsidRDefault="009028F6" w:rsidP="009028F6">
            <w:pPr>
              <w:rPr>
                <w:snapToGrid w:val="0"/>
                <w:color w:val="000000"/>
              </w:rPr>
            </w:pPr>
            <w:r>
              <w:rPr>
                <w:snapToGrid w:val="0"/>
                <w:color w:val="000000"/>
              </w:rPr>
              <w:t>Help to Live at Home and Specialist Care Procurement</w:t>
            </w:r>
          </w:p>
        </w:tc>
        <w:tc>
          <w:tcPr>
            <w:tcW w:w="2032" w:type="dxa"/>
          </w:tcPr>
          <w:p w:rsidR="009028F6" w:rsidRPr="00C91A89" w:rsidRDefault="009028F6" w:rsidP="009028F6">
            <w:pPr>
              <w:rPr>
                <w:snapToGrid w:val="0"/>
                <w:color w:val="000000"/>
              </w:rPr>
            </w:pPr>
            <w:r>
              <w:rPr>
                <w:snapToGrid w:val="0"/>
                <w:color w:val="000000"/>
              </w:rPr>
              <w:t>Service-users</w:t>
            </w:r>
            <w:r>
              <w:rPr>
                <w:snapToGrid w:val="0"/>
                <w:color w:val="000000"/>
              </w:rPr>
              <w:br/>
              <w:t>Providers</w:t>
            </w:r>
            <w:r>
              <w:rPr>
                <w:snapToGrid w:val="0"/>
                <w:color w:val="000000"/>
              </w:rPr>
              <w:br/>
              <w:t>Carers</w:t>
            </w:r>
            <w:r>
              <w:rPr>
                <w:snapToGrid w:val="0"/>
                <w:color w:val="000000"/>
              </w:rPr>
              <w:br/>
              <w:t>Advocacy Groups</w:t>
            </w:r>
            <w:r>
              <w:rPr>
                <w:snapToGrid w:val="0"/>
                <w:color w:val="000000"/>
              </w:rPr>
              <w:br/>
              <w:t>Operational Staff</w:t>
            </w:r>
          </w:p>
        </w:tc>
        <w:tc>
          <w:tcPr>
            <w:tcW w:w="2885" w:type="dxa"/>
          </w:tcPr>
          <w:p w:rsidR="007B5EEF" w:rsidRPr="00C91A89" w:rsidRDefault="009028F6" w:rsidP="007B5EEF">
            <w:pPr>
              <w:rPr>
                <w:snapToGrid w:val="0"/>
                <w:color w:val="000000"/>
              </w:rPr>
            </w:pPr>
            <w:r>
              <w:rPr>
                <w:snapToGrid w:val="0"/>
                <w:color w:val="000000"/>
              </w:rPr>
              <w:t xml:space="preserve">Workshops </w:t>
            </w:r>
            <w:r>
              <w:rPr>
                <w:snapToGrid w:val="0"/>
                <w:color w:val="000000"/>
              </w:rPr>
              <w:br/>
              <w:t xml:space="preserve">Newsletters </w:t>
            </w:r>
            <w:r>
              <w:rPr>
                <w:snapToGrid w:val="0"/>
                <w:color w:val="000000"/>
              </w:rPr>
              <w:br/>
              <w:t>Online and social media</w:t>
            </w:r>
            <w:r>
              <w:rPr>
                <w:snapToGrid w:val="0"/>
                <w:color w:val="000000"/>
              </w:rPr>
              <w:br/>
              <w:t>Events</w:t>
            </w:r>
            <w:r>
              <w:rPr>
                <w:snapToGrid w:val="0"/>
                <w:color w:val="000000"/>
              </w:rPr>
              <w:br/>
              <w:t>Questionnaires</w:t>
            </w:r>
            <w:r>
              <w:rPr>
                <w:snapToGrid w:val="0"/>
                <w:color w:val="000000"/>
              </w:rPr>
              <w:br/>
            </w:r>
            <w:hyperlink r:id="rId16" w:history="1">
              <w:r w:rsidR="007B5EEF" w:rsidRPr="007B5EEF">
                <w:rPr>
                  <w:rStyle w:val="Hyperlink"/>
                  <w:snapToGrid w:val="0"/>
                </w:rPr>
                <w:t>Click here for full info</w:t>
              </w:r>
            </w:hyperlink>
          </w:p>
        </w:tc>
        <w:tc>
          <w:tcPr>
            <w:tcW w:w="1793" w:type="dxa"/>
          </w:tcPr>
          <w:p w:rsidR="009028F6" w:rsidRPr="00C91A89" w:rsidRDefault="007B5EEF" w:rsidP="009028F6">
            <w:pPr>
              <w:rPr>
                <w:snapToGrid w:val="0"/>
                <w:color w:val="000000"/>
              </w:rPr>
            </w:pPr>
            <w:r>
              <w:rPr>
                <w:snapToGrid w:val="0"/>
                <w:color w:val="000000"/>
              </w:rPr>
              <w:t>Bryan Davies</w:t>
            </w:r>
          </w:p>
        </w:tc>
        <w:tc>
          <w:tcPr>
            <w:tcW w:w="1701" w:type="dxa"/>
          </w:tcPr>
          <w:p w:rsidR="009028F6" w:rsidRDefault="007B5EEF" w:rsidP="009028F6">
            <w:pPr>
              <w:rPr>
                <w:snapToGrid w:val="0"/>
                <w:color w:val="000000"/>
              </w:rPr>
            </w:pPr>
            <w:r>
              <w:rPr>
                <w:snapToGrid w:val="0"/>
                <w:color w:val="000000"/>
              </w:rPr>
              <w:t>November 2015 to December 2016</w:t>
            </w:r>
          </w:p>
          <w:p w:rsidR="00EE28F2" w:rsidRPr="00C91A89" w:rsidRDefault="00EE28F2" w:rsidP="009028F6">
            <w:pPr>
              <w:rPr>
                <w:snapToGrid w:val="0"/>
                <w:color w:val="000000"/>
              </w:rPr>
            </w:pPr>
            <w:r>
              <w:rPr>
                <w:snapToGrid w:val="0"/>
                <w:color w:val="000000"/>
              </w:rPr>
              <w:t>Further activity around implementation being planned</w:t>
            </w:r>
          </w:p>
        </w:tc>
        <w:tc>
          <w:tcPr>
            <w:tcW w:w="1473" w:type="dxa"/>
          </w:tcPr>
          <w:p w:rsidR="009028F6" w:rsidRPr="00C91A89" w:rsidRDefault="004E0DC1" w:rsidP="009028F6">
            <w:pPr>
              <w:rPr>
                <w:snapToGrid w:val="0"/>
                <w:color w:val="000000"/>
              </w:rPr>
            </w:pPr>
            <w:hyperlink r:id="rId17" w:history="1">
              <w:r w:rsidR="007B5EEF" w:rsidRPr="007B5EEF">
                <w:rPr>
                  <w:rStyle w:val="Hyperlink"/>
                  <w:snapToGrid w:val="0"/>
                </w:rPr>
                <w:t>Click here for full info</w:t>
              </w:r>
            </w:hyperlink>
          </w:p>
        </w:tc>
        <w:tc>
          <w:tcPr>
            <w:tcW w:w="2835" w:type="dxa"/>
          </w:tcPr>
          <w:p w:rsidR="009028F6" w:rsidRPr="00C91A89" w:rsidRDefault="007B5EEF" w:rsidP="009028F6">
            <w:pPr>
              <w:rPr>
                <w:snapToGrid w:val="0"/>
                <w:color w:val="000000"/>
              </w:rPr>
            </w:pPr>
            <w:r>
              <w:rPr>
                <w:snapToGrid w:val="0"/>
                <w:color w:val="000000"/>
              </w:rPr>
              <w:t>Appointment of new framework providers (March 2017). Monitoring of ongoing impact on service-users</w:t>
            </w:r>
          </w:p>
        </w:tc>
      </w:tr>
      <w:tr w:rsidR="007B5EEF" w:rsidTr="007B5EEF">
        <w:tc>
          <w:tcPr>
            <w:tcW w:w="2045" w:type="dxa"/>
          </w:tcPr>
          <w:p w:rsidR="009028F6" w:rsidRPr="00C91A89" w:rsidRDefault="007B5EEF" w:rsidP="009028F6">
            <w:pPr>
              <w:rPr>
                <w:snapToGrid w:val="0"/>
                <w:color w:val="000000"/>
              </w:rPr>
            </w:pPr>
            <w:r>
              <w:rPr>
                <w:snapToGrid w:val="0"/>
                <w:color w:val="000000"/>
              </w:rPr>
              <w:t>Primary Care (Lothian Wide)</w:t>
            </w:r>
          </w:p>
        </w:tc>
        <w:tc>
          <w:tcPr>
            <w:tcW w:w="2032" w:type="dxa"/>
          </w:tcPr>
          <w:p w:rsidR="009028F6" w:rsidRPr="00C91A89" w:rsidRDefault="007B5EEF" w:rsidP="009028F6">
            <w:pPr>
              <w:rPr>
                <w:snapToGrid w:val="0"/>
                <w:color w:val="000000"/>
              </w:rPr>
            </w:pPr>
            <w:r>
              <w:rPr>
                <w:snapToGrid w:val="0"/>
                <w:color w:val="000000"/>
              </w:rPr>
              <w:t>GPs, IJB members, Area Partnerships, advocacy groups, local and national policy makers</w:t>
            </w:r>
          </w:p>
        </w:tc>
        <w:tc>
          <w:tcPr>
            <w:tcW w:w="2885" w:type="dxa"/>
          </w:tcPr>
          <w:p w:rsidR="009028F6" w:rsidRPr="00C91A89" w:rsidRDefault="007B5EEF" w:rsidP="009028F6">
            <w:pPr>
              <w:rPr>
                <w:snapToGrid w:val="0"/>
                <w:color w:val="000000"/>
              </w:rPr>
            </w:pPr>
            <w:r>
              <w:rPr>
                <w:snapToGrid w:val="0"/>
                <w:color w:val="000000"/>
              </w:rPr>
              <w:t>Workshops and presentations</w:t>
            </w:r>
            <w:r w:rsidR="00786D7C">
              <w:rPr>
                <w:snapToGrid w:val="0"/>
                <w:color w:val="000000"/>
              </w:rPr>
              <w:t xml:space="preserve"> (Lothian and local focus)</w:t>
            </w:r>
          </w:p>
        </w:tc>
        <w:tc>
          <w:tcPr>
            <w:tcW w:w="1793" w:type="dxa"/>
          </w:tcPr>
          <w:p w:rsidR="009028F6" w:rsidRPr="00C91A89" w:rsidRDefault="007B5EEF" w:rsidP="009028F6">
            <w:pPr>
              <w:rPr>
                <w:snapToGrid w:val="0"/>
                <w:color w:val="000000"/>
              </w:rPr>
            </w:pPr>
            <w:r>
              <w:rPr>
                <w:snapToGrid w:val="0"/>
                <w:color w:val="000000"/>
              </w:rPr>
              <w:t>Paul Currie</w:t>
            </w:r>
          </w:p>
        </w:tc>
        <w:tc>
          <w:tcPr>
            <w:tcW w:w="1701" w:type="dxa"/>
          </w:tcPr>
          <w:p w:rsidR="009028F6" w:rsidRPr="00C91A89" w:rsidRDefault="007B5EEF" w:rsidP="009028F6">
            <w:pPr>
              <w:rPr>
                <w:snapToGrid w:val="0"/>
                <w:color w:val="000000"/>
              </w:rPr>
            </w:pPr>
            <w:r>
              <w:rPr>
                <w:snapToGrid w:val="0"/>
                <w:color w:val="000000"/>
              </w:rPr>
              <w:t>September 2016 – March 2018</w:t>
            </w:r>
          </w:p>
        </w:tc>
        <w:tc>
          <w:tcPr>
            <w:tcW w:w="1473" w:type="dxa"/>
          </w:tcPr>
          <w:p w:rsidR="009028F6" w:rsidRPr="00C91A89" w:rsidRDefault="007B5EEF" w:rsidP="007B5EEF">
            <w:pPr>
              <w:rPr>
                <w:snapToGrid w:val="0"/>
                <w:color w:val="000000"/>
              </w:rPr>
            </w:pPr>
            <w:r>
              <w:rPr>
                <w:snapToGrid w:val="0"/>
                <w:color w:val="000000"/>
              </w:rPr>
              <w:t>First two conference reports online on ELCHSCP pages</w:t>
            </w:r>
          </w:p>
        </w:tc>
        <w:tc>
          <w:tcPr>
            <w:tcW w:w="2835" w:type="dxa"/>
          </w:tcPr>
          <w:p w:rsidR="009028F6" w:rsidRPr="00C91A89" w:rsidRDefault="007B5EEF" w:rsidP="009028F6">
            <w:pPr>
              <w:rPr>
                <w:snapToGrid w:val="0"/>
                <w:color w:val="000000"/>
              </w:rPr>
            </w:pPr>
            <w:r>
              <w:rPr>
                <w:snapToGrid w:val="0"/>
                <w:color w:val="000000"/>
              </w:rPr>
              <w:t>To be evaluated at end of project</w:t>
            </w:r>
          </w:p>
        </w:tc>
      </w:tr>
      <w:tr w:rsidR="007B5EEF" w:rsidTr="007B5EEF">
        <w:tc>
          <w:tcPr>
            <w:tcW w:w="2045" w:type="dxa"/>
          </w:tcPr>
          <w:p w:rsidR="009028F6" w:rsidRPr="00C91A89" w:rsidRDefault="007B5EEF" w:rsidP="009028F6">
            <w:pPr>
              <w:rPr>
                <w:snapToGrid w:val="0"/>
                <w:color w:val="000000"/>
              </w:rPr>
            </w:pPr>
            <w:r>
              <w:rPr>
                <w:snapToGrid w:val="0"/>
                <w:color w:val="000000"/>
              </w:rPr>
              <w:t>East Lothian Autism Strategy Implementation</w:t>
            </w:r>
          </w:p>
        </w:tc>
        <w:tc>
          <w:tcPr>
            <w:tcW w:w="2032" w:type="dxa"/>
          </w:tcPr>
          <w:p w:rsidR="009028F6" w:rsidRPr="00C91A89" w:rsidRDefault="007B5EEF" w:rsidP="009028F6">
            <w:pPr>
              <w:rPr>
                <w:snapToGrid w:val="0"/>
                <w:color w:val="000000"/>
              </w:rPr>
            </w:pPr>
            <w:r>
              <w:rPr>
                <w:snapToGrid w:val="0"/>
                <w:color w:val="000000"/>
              </w:rPr>
              <w:t>Stakeholders</w:t>
            </w:r>
          </w:p>
        </w:tc>
        <w:tc>
          <w:tcPr>
            <w:tcW w:w="2885" w:type="dxa"/>
          </w:tcPr>
          <w:p w:rsidR="009028F6" w:rsidRPr="00C91A89" w:rsidRDefault="0019147C" w:rsidP="0019147C">
            <w:pPr>
              <w:rPr>
                <w:snapToGrid w:val="0"/>
                <w:color w:val="000000"/>
              </w:rPr>
            </w:pPr>
            <w:r>
              <w:rPr>
                <w:snapToGrid w:val="0"/>
                <w:color w:val="000000"/>
              </w:rPr>
              <w:t xml:space="preserve">Stakeholder event (April </w:t>
            </w:r>
            <w:r w:rsidR="007B5EEF">
              <w:rPr>
                <w:snapToGrid w:val="0"/>
                <w:color w:val="000000"/>
              </w:rPr>
              <w:t>2016)</w:t>
            </w:r>
          </w:p>
        </w:tc>
        <w:tc>
          <w:tcPr>
            <w:tcW w:w="1793" w:type="dxa"/>
          </w:tcPr>
          <w:p w:rsidR="009028F6" w:rsidRPr="00C91A89" w:rsidRDefault="007B5EEF" w:rsidP="007B5EEF">
            <w:pPr>
              <w:rPr>
                <w:snapToGrid w:val="0"/>
                <w:color w:val="000000"/>
              </w:rPr>
            </w:pPr>
            <w:r>
              <w:rPr>
                <w:snapToGrid w:val="0"/>
                <w:color w:val="000000"/>
              </w:rPr>
              <w:t>East Lothian Autism Strategy Group</w:t>
            </w:r>
          </w:p>
        </w:tc>
        <w:tc>
          <w:tcPr>
            <w:tcW w:w="1701" w:type="dxa"/>
          </w:tcPr>
          <w:p w:rsidR="009028F6" w:rsidRPr="00C91A89" w:rsidRDefault="007B5EEF" w:rsidP="009028F6">
            <w:pPr>
              <w:rPr>
                <w:snapToGrid w:val="0"/>
                <w:color w:val="000000"/>
              </w:rPr>
            </w:pPr>
            <w:r>
              <w:rPr>
                <w:snapToGrid w:val="0"/>
                <w:color w:val="000000"/>
              </w:rPr>
              <w:t>Ongoing</w:t>
            </w:r>
          </w:p>
        </w:tc>
        <w:tc>
          <w:tcPr>
            <w:tcW w:w="1473" w:type="dxa"/>
          </w:tcPr>
          <w:p w:rsidR="009028F6" w:rsidRPr="00C91A89" w:rsidRDefault="007B5EEF" w:rsidP="009028F6">
            <w:pPr>
              <w:rPr>
                <w:snapToGrid w:val="0"/>
                <w:color w:val="000000"/>
              </w:rPr>
            </w:pPr>
            <w:r>
              <w:rPr>
                <w:snapToGrid w:val="0"/>
                <w:color w:val="000000"/>
              </w:rPr>
              <w:t>Online on ELHSCP pages</w:t>
            </w:r>
          </w:p>
        </w:tc>
        <w:tc>
          <w:tcPr>
            <w:tcW w:w="2835" w:type="dxa"/>
          </w:tcPr>
          <w:p w:rsidR="009028F6" w:rsidRPr="00C91A89" w:rsidRDefault="00040447" w:rsidP="009028F6">
            <w:pPr>
              <w:rPr>
                <w:snapToGrid w:val="0"/>
                <w:color w:val="000000"/>
              </w:rPr>
            </w:pPr>
            <w:r>
              <w:rPr>
                <w:snapToGrid w:val="0"/>
                <w:color w:val="000000"/>
              </w:rPr>
              <w:t>Six-monthly performance reporting</w:t>
            </w:r>
          </w:p>
        </w:tc>
      </w:tr>
      <w:tr w:rsidR="007B5EEF" w:rsidTr="007B5EEF">
        <w:tc>
          <w:tcPr>
            <w:tcW w:w="2045" w:type="dxa"/>
          </w:tcPr>
          <w:p w:rsidR="009028F6" w:rsidRPr="00C91A89" w:rsidRDefault="00040447" w:rsidP="009028F6">
            <w:pPr>
              <w:rPr>
                <w:snapToGrid w:val="0"/>
                <w:color w:val="000000"/>
              </w:rPr>
            </w:pPr>
            <w:r>
              <w:rPr>
                <w:snapToGrid w:val="0"/>
                <w:color w:val="000000"/>
              </w:rPr>
              <w:t>ELIJB Strategic Plan</w:t>
            </w:r>
          </w:p>
        </w:tc>
        <w:tc>
          <w:tcPr>
            <w:tcW w:w="2032" w:type="dxa"/>
          </w:tcPr>
          <w:p w:rsidR="009028F6" w:rsidRPr="00C91A89" w:rsidRDefault="00040447" w:rsidP="009028F6">
            <w:pPr>
              <w:rPr>
                <w:snapToGrid w:val="0"/>
                <w:color w:val="000000"/>
              </w:rPr>
            </w:pPr>
            <w:r>
              <w:rPr>
                <w:snapToGrid w:val="0"/>
                <w:color w:val="000000"/>
              </w:rPr>
              <w:t>Stakeholders</w:t>
            </w:r>
          </w:p>
        </w:tc>
        <w:tc>
          <w:tcPr>
            <w:tcW w:w="2885" w:type="dxa"/>
          </w:tcPr>
          <w:p w:rsidR="00040447" w:rsidRPr="00C91A89" w:rsidRDefault="00040447" w:rsidP="0019147C">
            <w:pPr>
              <w:rPr>
                <w:snapToGrid w:val="0"/>
                <w:color w:val="000000"/>
              </w:rPr>
            </w:pPr>
            <w:r>
              <w:rPr>
                <w:snapToGrid w:val="0"/>
                <w:color w:val="000000"/>
              </w:rPr>
              <w:t>Big Conversation 1 and 2 (October 2015, 2016)</w:t>
            </w:r>
            <w:r w:rsidR="00786D7C">
              <w:rPr>
                <w:snapToGrid w:val="0"/>
                <w:color w:val="000000"/>
              </w:rPr>
              <w:t>, including commissioned drama sessions and videos</w:t>
            </w:r>
            <w:r>
              <w:rPr>
                <w:snapToGrid w:val="0"/>
                <w:color w:val="000000"/>
              </w:rPr>
              <w:br/>
              <w:t>Consultation Hub Questionnaires</w:t>
            </w:r>
            <w:r>
              <w:rPr>
                <w:snapToGrid w:val="0"/>
                <w:color w:val="000000"/>
              </w:rPr>
              <w:br/>
              <w:t>Presentation, workshops and group sessions with a wide range of stakeholders, including unions and staff</w:t>
            </w:r>
          </w:p>
        </w:tc>
        <w:tc>
          <w:tcPr>
            <w:tcW w:w="1793" w:type="dxa"/>
          </w:tcPr>
          <w:p w:rsidR="009028F6" w:rsidRPr="00C91A89" w:rsidRDefault="00040447" w:rsidP="009028F6">
            <w:pPr>
              <w:rPr>
                <w:snapToGrid w:val="0"/>
                <w:color w:val="000000"/>
              </w:rPr>
            </w:pPr>
            <w:r>
              <w:rPr>
                <w:snapToGrid w:val="0"/>
                <w:color w:val="000000"/>
              </w:rPr>
              <w:t>ELIJB</w:t>
            </w:r>
          </w:p>
        </w:tc>
        <w:tc>
          <w:tcPr>
            <w:tcW w:w="1701" w:type="dxa"/>
          </w:tcPr>
          <w:p w:rsidR="009028F6" w:rsidRPr="00C91A89" w:rsidRDefault="00040447" w:rsidP="009028F6">
            <w:pPr>
              <w:rPr>
                <w:snapToGrid w:val="0"/>
                <w:color w:val="000000"/>
              </w:rPr>
            </w:pPr>
            <w:r>
              <w:rPr>
                <w:snapToGrid w:val="0"/>
                <w:color w:val="000000"/>
              </w:rPr>
              <w:t>Ongoing</w:t>
            </w:r>
          </w:p>
        </w:tc>
        <w:tc>
          <w:tcPr>
            <w:tcW w:w="1473" w:type="dxa"/>
          </w:tcPr>
          <w:p w:rsidR="009028F6" w:rsidRPr="00C91A89" w:rsidRDefault="00040447" w:rsidP="009028F6">
            <w:pPr>
              <w:rPr>
                <w:snapToGrid w:val="0"/>
                <w:color w:val="000000"/>
              </w:rPr>
            </w:pPr>
            <w:r>
              <w:rPr>
                <w:snapToGrid w:val="0"/>
                <w:color w:val="000000"/>
              </w:rPr>
              <w:t>Newsletters</w:t>
            </w:r>
          </w:p>
        </w:tc>
        <w:tc>
          <w:tcPr>
            <w:tcW w:w="2835" w:type="dxa"/>
          </w:tcPr>
          <w:p w:rsidR="0019147C" w:rsidRDefault="00040447" w:rsidP="009028F6">
            <w:pPr>
              <w:rPr>
                <w:snapToGrid w:val="0"/>
                <w:color w:val="000000"/>
              </w:rPr>
            </w:pPr>
            <w:r>
              <w:rPr>
                <w:snapToGrid w:val="0"/>
                <w:color w:val="000000"/>
              </w:rPr>
              <w:t>Six-monthly performance reporting</w:t>
            </w:r>
            <w:r>
              <w:rPr>
                <w:snapToGrid w:val="0"/>
                <w:color w:val="000000"/>
              </w:rPr>
              <w:br/>
            </w:r>
            <w:hyperlink r:id="rId18" w:history="1">
              <w:r w:rsidRPr="00040447">
                <w:rPr>
                  <w:rStyle w:val="Hyperlink"/>
                  <w:snapToGrid w:val="0"/>
                </w:rPr>
                <w:t>Big Conversation  Feedback</w:t>
              </w:r>
            </w:hyperlink>
            <w:r w:rsidR="0019147C">
              <w:rPr>
                <w:snapToGrid w:val="0"/>
                <w:color w:val="000000"/>
              </w:rPr>
              <w:br/>
              <w:t>EL Autism Strategy Web Pages (under development)</w:t>
            </w:r>
          </w:p>
          <w:p w:rsidR="0019147C" w:rsidRDefault="0019147C" w:rsidP="009028F6">
            <w:pPr>
              <w:rPr>
                <w:snapToGrid w:val="0"/>
                <w:color w:val="000000"/>
              </w:rPr>
            </w:pPr>
          </w:p>
          <w:p w:rsidR="00040447" w:rsidRPr="00C91A89" w:rsidRDefault="00040447" w:rsidP="009028F6">
            <w:pPr>
              <w:rPr>
                <w:snapToGrid w:val="0"/>
                <w:color w:val="000000"/>
              </w:rPr>
            </w:pPr>
          </w:p>
        </w:tc>
      </w:tr>
      <w:tr w:rsidR="0019147C" w:rsidTr="007B5EEF">
        <w:tc>
          <w:tcPr>
            <w:tcW w:w="2045" w:type="dxa"/>
          </w:tcPr>
          <w:p w:rsidR="0019147C" w:rsidRDefault="0019147C" w:rsidP="009028F6">
            <w:pPr>
              <w:rPr>
                <w:snapToGrid w:val="0"/>
                <w:color w:val="000000"/>
              </w:rPr>
            </w:pPr>
            <w:r>
              <w:rPr>
                <w:snapToGrid w:val="0"/>
                <w:color w:val="000000"/>
              </w:rPr>
              <w:t>Management restructuring</w:t>
            </w:r>
          </w:p>
        </w:tc>
        <w:tc>
          <w:tcPr>
            <w:tcW w:w="2032" w:type="dxa"/>
          </w:tcPr>
          <w:p w:rsidR="0019147C" w:rsidRDefault="0019147C" w:rsidP="000C22D8">
            <w:pPr>
              <w:rPr>
                <w:snapToGrid w:val="0"/>
                <w:color w:val="000000"/>
              </w:rPr>
            </w:pPr>
            <w:r>
              <w:rPr>
                <w:snapToGrid w:val="0"/>
                <w:color w:val="000000"/>
              </w:rPr>
              <w:t>Staff</w:t>
            </w:r>
            <w:r>
              <w:rPr>
                <w:snapToGrid w:val="0"/>
                <w:color w:val="000000"/>
              </w:rPr>
              <w:br/>
              <w:t>Unions</w:t>
            </w:r>
            <w:r>
              <w:rPr>
                <w:snapToGrid w:val="0"/>
                <w:color w:val="000000"/>
              </w:rPr>
              <w:br/>
              <w:t>ELC, ELHSCP and NHS Lothian Senior Management</w:t>
            </w:r>
            <w:r>
              <w:rPr>
                <w:snapToGrid w:val="0"/>
                <w:color w:val="000000"/>
              </w:rPr>
              <w:br/>
            </w:r>
          </w:p>
        </w:tc>
        <w:tc>
          <w:tcPr>
            <w:tcW w:w="2885" w:type="dxa"/>
          </w:tcPr>
          <w:p w:rsidR="000C22D8" w:rsidRDefault="000C22D8" w:rsidP="009028F6">
            <w:pPr>
              <w:rPr>
                <w:snapToGrid w:val="0"/>
                <w:color w:val="000000"/>
              </w:rPr>
            </w:pPr>
            <w:r>
              <w:rPr>
                <w:snapToGrid w:val="0"/>
                <w:color w:val="000000"/>
              </w:rPr>
              <w:t>Events</w:t>
            </w:r>
            <w:r>
              <w:rPr>
                <w:snapToGrid w:val="0"/>
                <w:color w:val="000000"/>
              </w:rPr>
              <w:br/>
              <w:t>Focus groups</w:t>
            </w:r>
            <w:r>
              <w:rPr>
                <w:snapToGrid w:val="0"/>
                <w:color w:val="000000"/>
              </w:rPr>
              <w:br/>
              <w:t xml:space="preserve">Workshops </w:t>
            </w:r>
            <w:r>
              <w:rPr>
                <w:snapToGrid w:val="0"/>
                <w:color w:val="000000"/>
              </w:rPr>
              <w:br/>
              <w:t>Questionnaires</w:t>
            </w:r>
            <w:r>
              <w:rPr>
                <w:snapToGrid w:val="0"/>
                <w:color w:val="000000"/>
              </w:rPr>
              <w:br/>
            </w:r>
          </w:p>
        </w:tc>
        <w:tc>
          <w:tcPr>
            <w:tcW w:w="1793" w:type="dxa"/>
          </w:tcPr>
          <w:p w:rsidR="0019147C" w:rsidRDefault="000C22D8" w:rsidP="009028F6">
            <w:pPr>
              <w:rPr>
                <w:snapToGrid w:val="0"/>
                <w:color w:val="000000"/>
              </w:rPr>
            </w:pPr>
            <w:r>
              <w:rPr>
                <w:snapToGrid w:val="0"/>
                <w:color w:val="000000"/>
              </w:rPr>
              <w:t>David Small</w:t>
            </w:r>
          </w:p>
        </w:tc>
        <w:tc>
          <w:tcPr>
            <w:tcW w:w="1701" w:type="dxa"/>
          </w:tcPr>
          <w:p w:rsidR="0019147C" w:rsidRDefault="000C22D8" w:rsidP="009028F6">
            <w:pPr>
              <w:rPr>
                <w:snapToGrid w:val="0"/>
                <w:color w:val="000000"/>
              </w:rPr>
            </w:pPr>
            <w:r>
              <w:rPr>
                <w:snapToGrid w:val="0"/>
                <w:color w:val="000000"/>
              </w:rPr>
              <w:t>July 2015 – July 2016</w:t>
            </w:r>
          </w:p>
          <w:p w:rsidR="00EE28F2" w:rsidRDefault="00EE28F2" w:rsidP="009028F6">
            <w:pPr>
              <w:rPr>
                <w:snapToGrid w:val="0"/>
                <w:color w:val="000000"/>
              </w:rPr>
            </w:pPr>
            <w:r>
              <w:rPr>
                <w:snapToGrid w:val="0"/>
                <w:color w:val="000000"/>
              </w:rPr>
              <w:t>Further activities around group restructuring planned</w:t>
            </w:r>
          </w:p>
        </w:tc>
        <w:tc>
          <w:tcPr>
            <w:tcW w:w="1473" w:type="dxa"/>
          </w:tcPr>
          <w:p w:rsidR="0019147C" w:rsidRDefault="000C22D8" w:rsidP="009028F6">
            <w:pPr>
              <w:rPr>
                <w:snapToGrid w:val="0"/>
                <w:color w:val="000000"/>
              </w:rPr>
            </w:pPr>
            <w:r>
              <w:rPr>
                <w:snapToGrid w:val="0"/>
                <w:color w:val="000000"/>
              </w:rPr>
              <w:t>Online updates, structures and report online on NHS Lothian and ELC intranets</w:t>
            </w:r>
          </w:p>
        </w:tc>
        <w:tc>
          <w:tcPr>
            <w:tcW w:w="2835" w:type="dxa"/>
          </w:tcPr>
          <w:p w:rsidR="0019147C" w:rsidRDefault="000C22D8" w:rsidP="009028F6">
            <w:pPr>
              <w:rPr>
                <w:snapToGrid w:val="0"/>
                <w:color w:val="000000"/>
              </w:rPr>
            </w:pPr>
            <w:r>
              <w:rPr>
                <w:snapToGrid w:val="0"/>
                <w:color w:val="000000"/>
              </w:rPr>
              <w:t>Staff feedback drove changes to each iteration of the management structure during the development period</w:t>
            </w:r>
          </w:p>
        </w:tc>
      </w:tr>
      <w:tr w:rsidR="007B5EEF" w:rsidTr="007B5EEF">
        <w:tc>
          <w:tcPr>
            <w:tcW w:w="2045" w:type="dxa"/>
          </w:tcPr>
          <w:p w:rsidR="0019147C" w:rsidRPr="00C91A89" w:rsidRDefault="0019147C" w:rsidP="009028F6">
            <w:pPr>
              <w:rPr>
                <w:snapToGrid w:val="0"/>
                <w:color w:val="000000"/>
              </w:rPr>
            </w:pPr>
            <w:r>
              <w:rPr>
                <w:snapToGrid w:val="0"/>
                <w:color w:val="000000"/>
              </w:rPr>
              <w:t>Dementia Strategy</w:t>
            </w:r>
            <w:r>
              <w:rPr>
                <w:snapToGrid w:val="0"/>
                <w:color w:val="000000"/>
              </w:rPr>
              <w:br/>
              <w:t>(Short-life working group)</w:t>
            </w:r>
          </w:p>
        </w:tc>
        <w:tc>
          <w:tcPr>
            <w:tcW w:w="2032" w:type="dxa"/>
          </w:tcPr>
          <w:p w:rsidR="009028F6" w:rsidRPr="00C91A89" w:rsidRDefault="0019147C" w:rsidP="009028F6">
            <w:pPr>
              <w:rPr>
                <w:snapToGrid w:val="0"/>
                <w:color w:val="000000"/>
              </w:rPr>
            </w:pPr>
            <w:r>
              <w:rPr>
                <w:snapToGrid w:val="0"/>
                <w:color w:val="000000"/>
              </w:rPr>
              <w:t>Stakeholders</w:t>
            </w:r>
          </w:p>
        </w:tc>
        <w:tc>
          <w:tcPr>
            <w:tcW w:w="2885" w:type="dxa"/>
          </w:tcPr>
          <w:p w:rsidR="009028F6" w:rsidRPr="00C91A89" w:rsidRDefault="0019147C" w:rsidP="009028F6">
            <w:pPr>
              <w:rPr>
                <w:snapToGrid w:val="0"/>
                <w:color w:val="000000"/>
              </w:rPr>
            </w:pPr>
            <w:r>
              <w:rPr>
                <w:snapToGrid w:val="0"/>
                <w:color w:val="000000"/>
              </w:rPr>
              <w:t>TBA</w:t>
            </w:r>
          </w:p>
        </w:tc>
        <w:tc>
          <w:tcPr>
            <w:tcW w:w="1793" w:type="dxa"/>
          </w:tcPr>
          <w:p w:rsidR="009028F6" w:rsidRPr="00C91A89" w:rsidRDefault="0019147C" w:rsidP="009028F6">
            <w:pPr>
              <w:rPr>
                <w:snapToGrid w:val="0"/>
                <w:color w:val="000000"/>
              </w:rPr>
            </w:pPr>
            <w:r>
              <w:rPr>
                <w:snapToGrid w:val="0"/>
                <w:color w:val="000000"/>
              </w:rPr>
              <w:t>Bryan Davies</w:t>
            </w:r>
          </w:p>
        </w:tc>
        <w:tc>
          <w:tcPr>
            <w:tcW w:w="1701" w:type="dxa"/>
          </w:tcPr>
          <w:p w:rsidR="009028F6" w:rsidRPr="00C91A89" w:rsidRDefault="0019147C" w:rsidP="009028F6">
            <w:pPr>
              <w:rPr>
                <w:snapToGrid w:val="0"/>
                <w:color w:val="000000"/>
              </w:rPr>
            </w:pPr>
            <w:r>
              <w:rPr>
                <w:snapToGrid w:val="0"/>
                <w:color w:val="000000"/>
              </w:rPr>
              <w:t>TBA</w:t>
            </w:r>
          </w:p>
        </w:tc>
        <w:tc>
          <w:tcPr>
            <w:tcW w:w="1473" w:type="dxa"/>
          </w:tcPr>
          <w:p w:rsidR="009028F6" w:rsidRPr="00C91A89" w:rsidRDefault="0019147C" w:rsidP="009028F6">
            <w:pPr>
              <w:rPr>
                <w:snapToGrid w:val="0"/>
                <w:color w:val="000000"/>
              </w:rPr>
            </w:pPr>
            <w:r>
              <w:rPr>
                <w:snapToGrid w:val="0"/>
                <w:color w:val="000000"/>
              </w:rPr>
              <w:t>TBA</w:t>
            </w:r>
          </w:p>
        </w:tc>
        <w:tc>
          <w:tcPr>
            <w:tcW w:w="2835" w:type="dxa"/>
          </w:tcPr>
          <w:p w:rsidR="009028F6" w:rsidRPr="00C91A89" w:rsidRDefault="0019147C" w:rsidP="009028F6">
            <w:pPr>
              <w:rPr>
                <w:snapToGrid w:val="0"/>
                <w:color w:val="000000"/>
              </w:rPr>
            </w:pPr>
            <w:r>
              <w:rPr>
                <w:snapToGrid w:val="0"/>
                <w:color w:val="000000"/>
              </w:rPr>
              <w:t>TBA</w:t>
            </w:r>
          </w:p>
        </w:tc>
      </w:tr>
      <w:tr w:rsidR="0019147C" w:rsidTr="007B5EEF">
        <w:tc>
          <w:tcPr>
            <w:tcW w:w="2045" w:type="dxa"/>
          </w:tcPr>
          <w:p w:rsidR="0019147C" w:rsidRPr="00C91A89" w:rsidRDefault="0019147C" w:rsidP="009028F6">
            <w:pPr>
              <w:rPr>
                <w:snapToGrid w:val="0"/>
                <w:color w:val="000000"/>
              </w:rPr>
            </w:pPr>
            <w:r>
              <w:rPr>
                <w:snapToGrid w:val="0"/>
                <w:color w:val="000000"/>
              </w:rPr>
              <w:t>Older People’s Strategy (Short-life working group)</w:t>
            </w:r>
          </w:p>
        </w:tc>
        <w:tc>
          <w:tcPr>
            <w:tcW w:w="2032" w:type="dxa"/>
          </w:tcPr>
          <w:p w:rsidR="0019147C" w:rsidRPr="00C91A89" w:rsidRDefault="0019147C" w:rsidP="0019147C">
            <w:pPr>
              <w:rPr>
                <w:snapToGrid w:val="0"/>
                <w:color w:val="000000"/>
              </w:rPr>
            </w:pPr>
            <w:r>
              <w:rPr>
                <w:snapToGrid w:val="0"/>
                <w:color w:val="000000"/>
              </w:rPr>
              <w:t>Stakeholders</w:t>
            </w:r>
          </w:p>
        </w:tc>
        <w:tc>
          <w:tcPr>
            <w:tcW w:w="2885" w:type="dxa"/>
          </w:tcPr>
          <w:p w:rsidR="0019147C" w:rsidRPr="00C91A89" w:rsidRDefault="0019147C" w:rsidP="0019147C">
            <w:pPr>
              <w:rPr>
                <w:snapToGrid w:val="0"/>
                <w:color w:val="000000"/>
              </w:rPr>
            </w:pPr>
            <w:r>
              <w:rPr>
                <w:snapToGrid w:val="0"/>
                <w:color w:val="000000"/>
              </w:rPr>
              <w:t>TBA</w:t>
            </w:r>
          </w:p>
        </w:tc>
        <w:tc>
          <w:tcPr>
            <w:tcW w:w="1793" w:type="dxa"/>
          </w:tcPr>
          <w:p w:rsidR="0019147C" w:rsidRPr="00C91A89" w:rsidRDefault="0019147C" w:rsidP="0019147C">
            <w:pPr>
              <w:rPr>
                <w:snapToGrid w:val="0"/>
                <w:color w:val="000000"/>
              </w:rPr>
            </w:pPr>
            <w:r>
              <w:rPr>
                <w:snapToGrid w:val="0"/>
                <w:color w:val="000000"/>
              </w:rPr>
              <w:t>Bryan Davies</w:t>
            </w:r>
          </w:p>
        </w:tc>
        <w:tc>
          <w:tcPr>
            <w:tcW w:w="1701" w:type="dxa"/>
          </w:tcPr>
          <w:p w:rsidR="0019147C" w:rsidRPr="00C91A89" w:rsidRDefault="0019147C" w:rsidP="0019147C">
            <w:pPr>
              <w:rPr>
                <w:snapToGrid w:val="0"/>
                <w:color w:val="000000"/>
              </w:rPr>
            </w:pPr>
            <w:r>
              <w:rPr>
                <w:snapToGrid w:val="0"/>
                <w:color w:val="000000"/>
              </w:rPr>
              <w:t>TBA</w:t>
            </w:r>
          </w:p>
        </w:tc>
        <w:tc>
          <w:tcPr>
            <w:tcW w:w="1473" w:type="dxa"/>
          </w:tcPr>
          <w:p w:rsidR="0019147C" w:rsidRPr="00C91A89" w:rsidRDefault="0019147C" w:rsidP="0019147C">
            <w:pPr>
              <w:rPr>
                <w:snapToGrid w:val="0"/>
                <w:color w:val="000000"/>
              </w:rPr>
            </w:pPr>
            <w:r>
              <w:rPr>
                <w:snapToGrid w:val="0"/>
                <w:color w:val="000000"/>
              </w:rPr>
              <w:t>TBA</w:t>
            </w:r>
          </w:p>
        </w:tc>
        <w:tc>
          <w:tcPr>
            <w:tcW w:w="2835" w:type="dxa"/>
          </w:tcPr>
          <w:p w:rsidR="0019147C" w:rsidRPr="00C91A89" w:rsidRDefault="0019147C" w:rsidP="0019147C">
            <w:pPr>
              <w:rPr>
                <w:snapToGrid w:val="0"/>
                <w:color w:val="000000"/>
              </w:rPr>
            </w:pPr>
            <w:r>
              <w:rPr>
                <w:snapToGrid w:val="0"/>
                <w:color w:val="000000"/>
              </w:rPr>
              <w:t>TBA</w:t>
            </w:r>
          </w:p>
        </w:tc>
      </w:tr>
      <w:tr w:rsidR="0019147C" w:rsidTr="007B5EEF">
        <w:tc>
          <w:tcPr>
            <w:tcW w:w="2045" w:type="dxa"/>
          </w:tcPr>
          <w:p w:rsidR="0019147C" w:rsidRPr="00C91A89" w:rsidRDefault="0019147C" w:rsidP="009028F6">
            <w:pPr>
              <w:rPr>
                <w:snapToGrid w:val="0"/>
                <w:color w:val="000000"/>
              </w:rPr>
            </w:pPr>
            <w:r>
              <w:rPr>
                <w:snapToGrid w:val="0"/>
                <w:color w:val="000000"/>
              </w:rPr>
              <w:t>Carers’ Strategy</w:t>
            </w:r>
          </w:p>
        </w:tc>
        <w:tc>
          <w:tcPr>
            <w:tcW w:w="2032" w:type="dxa"/>
          </w:tcPr>
          <w:p w:rsidR="0019147C" w:rsidRPr="00C91A89" w:rsidRDefault="0019147C" w:rsidP="009028F6">
            <w:pPr>
              <w:rPr>
                <w:snapToGrid w:val="0"/>
                <w:color w:val="000000"/>
              </w:rPr>
            </w:pPr>
            <w:r>
              <w:rPr>
                <w:snapToGrid w:val="0"/>
                <w:color w:val="000000"/>
              </w:rPr>
              <w:t>Stakeholders</w:t>
            </w:r>
          </w:p>
        </w:tc>
        <w:tc>
          <w:tcPr>
            <w:tcW w:w="2885" w:type="dxa"/>
          </w:tcPr>
          <w:p w:rsidR="0019147C" w:rsidRPr="00C91A89" w:rsidRDefault="0019147C" w:rsidP="009028F6">
            <w:pPr>
              <w:rPr>
                <w:snapToGrid w:val="0"/>
                <w:color w:val="000000"/>
              </w:rPr>
            </w:pPr>
            <w:r>
              <w:rPr>
                <w:snapToGrid w:val="0"/>
                <w:color w:val="000000"/>
              </w:rPr>
              <w:t>Carer Identification event (January 2016)</w:t>
            </w:r>
            <w:r>
              <w:rPr>
                <w:snapToGrid w:val="0"/>
                <w:color w:val="000000"/>
              </w:rPr>
              <w:br/>
            </w:r>
          </w:p>
        </w:tc>
        <w:tc>
          <w:tcPr>
            <w:tcW w:w="1793" w:type="dxa"/>
          </w:tcPr>
          <w:p w:rsidR="0019147C" w:rsidRPr="00C91A89" w:rsidRDefault="0019147C" w:rsidP="009028F6">
            <w:pPr>
              <w:rPr>
                <w:snapToGrid w:val="0"/>
                <w:color w:val="000000"/>
              </w:rPr>
            </w:pPr>
            <w:r>
              <w:rPr>
                <w:snapToGrid w:val="0"/>
                <w:color w:val="000000"/>
              </w:rPr>
              <w:t>Carol Lumsden</w:t>
            </w:r>
          </w:p>
        </w:tc>
        <w:tc>
          <w:tcPr>
            <w:tcW w:w="1701" w:type="dxa"/>
          </w:tcPr>
          <w:p w:rsidR="0019147C" w:rsidRPr="00C91A89" w:rsidRDefault="0019147C" w:rsidP="009028F6">
            <w:pPr>
              <w:rPr>
                <w:snapToGrid w:val="0"/>
                <w:color w:val="000000"/>
              </w:rPr>
            </w:pPr>
            <w:r>
              <w:rPr>
                <w:snapToGrid w:val="0"/>
                <w:color w:val="000000"/>
              </w:rPr>
              <w:t>January 2016</w:t>
            </w:r>
          </w:p>
        </w:tc>
        <w:tc>
          <w:tcPr>
            <w:tcW w:w="1473" w:type="dxa"/>
          </w:tcPr>
          <w:p w:rsidR="0019147C" w:rsidRPr="00C91A89" w:rsidRDefault="0019147C" w:rsidP="009028F6">
            <w:pPr>
              <w:rPr>
                <w:snapToGrid w:val="0"/>
                <w:color w:val="000000"/>
              </w:rPr>
            </w:pPr>
            <w:r>
              <w:rPr>
                <w:snapToGrid w:val="0"/>
                <w:color w:val="000000"/>
              </w:rPr>
              <w:t>Conference Report</w:t>
            </w:r>
          </w:p>
        </w:tc>
        <w:tc>
          <w:tcPr>
            <w:tcW w:w="2835" w:type="dxa"/>
          </w:tcPr>
          <w:p w:rsidR="0019147C" w:rsidRPr="00C91A89" w:rsidRDefault="00786D7C" w:rsidP="00786D7C">
            <w:pPr>
              <w:rPr>
                <w:snapToGrid w:val="0"/>
                <w:color w:val="000000"/>
              </w:rPr>
            </w:pPr>
            <w:r>
              <w:rPr>
                <w:snapToGrid w:val="0"/>
                <w:color w:val="000000"/>
              </w:rPr>
              <w:t>Completed. I</w:t>
            </w:r>
            <w:r w:rsidR="0019147C">
              <w:rPr>
                <w:snapToGrid w:val="0"/>
                <w:color w:val="000000"/>
              </w:rPr>
              <w:t>nforming wider strategy</w:t>
            </w:r>
          </w:p>
        </w:tc>
      </w:tr>
      <w:tr w:rsidR="0019147C" w:rsidTr="007B5EEF">
        <w:tc>
          <w:tcPr>
            <w:tcW w:w="2045" w:type="dxa"/>
          </w:tcPr>
          <w:p w:rsidR="0019147C" w:rsidRPr="00C91A89" w:rsidRDefault="0019147C" w:rsidP="0019147C">
            <w:pPr>
              <w:rPr>
                <w:snapToGrid w:val="0"/>
                <w:color w:val="000000"/>
              </w:rPr>
            </w:pPr>
            <w:r>
              <w:rPr>
                <w:snapToGrid w:val="0"/>
                <w:color w:val="000000"/>
              </w:rPr>
              <w:t>Carers’ Strategy (Short-life working group)</w:t>
            </w:r>
          </w:p>
        </w:tc>
        <w:tc>
          <w:tcPr>
            <w:tcW w:w="2032" w:type="dxa"/>
          </w:tcPr>
          <w:p w:rsidR="0019147C" w:rsidRPr="00C91A89" w:rsidRDefault="0019147C" w:rsidP="0019147C">
            <w:pPr>
              <w:rPr>
                <w:snapToGrid w:val="0"/>
                <w:color w:val="000000"/>
              </w:rPr>
            </w:pPr>
            <w:r>
              <w:rPr>
                <w:snapToGrid w:val="0"/>
                <w:color w:val="000000"/>
              </w:rPr>
              <w:t>Stakeholders</w:t>
            </w:r>
          </w:p>
        </w:tc>
        <w:tc>
          <w:tcPr>
            <w:tcW w:w="2885" w:type="dxa"/>
          </w:tcPr>
          <w:p w:rsidR="0019147C" w:rsidRPr="00C91A89" w:rsidRDefault="0019147C" w:rsidP="0019147C">
            <w:pPr>
              <w:rPr>
                <w:snapToGrid w:val="0"/>
                <w:color w:val="000000"/>
              </w:rPr>
            </w:pPr>
            <w:r>
              <w:rPr>
                <w:snapToGrid w:val="0"/>
                <w:color w:val="000000"/>
              </w:rPr>
              <w:t>TBA</w:t>
            </w:r>
            <w:r>
              <w:rPr>
                <w:snapToGrid w:val="0"/>
                <w:color w:val="000000"/>
              </w:rPr>
              <w:br/>
            </w:r>
          </w:p>
        </w:tc>
        <w:tc>
          <w:tcPr>
            <w:tcW w:w="1793" w:type="dxa"/>
          </w:tcPr>
          <w:p w:rsidR="0019147C" w:rsidRPr="00C91A89" w:rsidRDefault="0019147C" w:rsidP="0019147C">
            <w:pPr>
              <w:rPr>
                <w:snapToGrid w:val="0"/>
                <w:color w:val="000000"/>
              </w:rPr>
            </w:pPr>
            <w:r>
              <w:rPr>
                <w:snapToGrid w:val="0"/>
                <w:color w:val="000000"/>
              </w:rPr>
              <w:t>Alison Macdonald</w:t>
            </w:r>
          </w:p>
        </w:tc>
        <w:tc>
          <w:tcPr>
            <w:tcW w:w="1701" w:type="dxa"/>
          </w:tcPr>
          <w:p w:rsidR="0019147C" w:rsidRPr="00C91A89" w:rsidRDefault="0019147C" w:rsidP="0019147C">
            <w:pPr>
              <w:rPr>
                <w:snapToGrid w:val="0"/>
                <w:color w:val="000000"/>
              </w:rPr>
            </w:pPr>
            <w:r>
              <w:rPr>
                <w:snapToGrid w:val="0"/>
                <w:color w:val="000000"/>
              </w:rPr>
              <w:t>TBA</w:t>
            </w:r>
          </w:p>
        </w:tc>
        <w:tc>
          <w:tcPr>
            <w:tcW w:w="1473" w:type="dxa"/>
          </w:tcPr>
          <w:p w:rsidR="0019147C" w:rsidRPr="00C91A89" w:rsidRDefault="0019147C" w:rsidP="0019147C">
            <w:pPr>
              <w:rPr>
                <w:snapToGrid w:val="0"/>
                <w:color w:val="000000"/>
              </w:rPr>
            </w:pPr>
            <w:r>
              <w:rPr>
                <w:snapToGrid w:val="0"/>
                <w:color w:val="000000"/>
              </w:rPr>
              <w:t>TBA</w:t>
            </w:r>
          </w:p>
        </w:tc>
        <w:tc>
          <w:tcPr>
            <w:tcW w:w="2835" w:type="dxa"/>
          </w:tcPr>
          <w:p w:rsidR="0019147C" w:rsidRPr="00C91A89" w:rsidRDefault="0019147C" w:rsidP="0019147C">
            <w:pPr>
              <w:rPr>
                <w:snapToGrid w:val="0"/>
                <w:color w:val="000000"/>
              </w:rPr>
            </w:pPr>
            <w:r>
              <w:rPr>
                <w:snapToGrid w:val="0"/>
                <w:color w:val="000000"/>
              </w:rPr>
              <w:t>TBA</w:t>
            </w:r>
          </w:p>
        </w:tc>
      </w:tr>
      <w:tr w:rsidR="0019147C" w:rsidTr="007B5EEF">
        <w:tc>
          <w:tcPr>
            <w:tcW w:w="2045" w:type="dxa"/>
          </w:tcPr>
          <w:p w:rsidR="0019147C" w:rsidRPr="00C91A89" w:rsidRDefault="000C22D8" w:rsidP="009028F6">
            <w:pPr>
              <w:rPr>
                <w:snapToGrid w:val="0"/>
                <w:color w:val="000000"/>
              </w:rPr>
            </w:pPr>
            <w:r>
              <w:rPr>
                <w:snapToGrid w:val="0"/>
                <w:color w:val="000000"/>
              </w:rPr>
              <w:t xml:space="preserve">East Lothian Community Hospital </w:t>
            </w:r>
          </w:p>
        </w:tc>
        <w:tc>
          <w:tcPr>
            <w:tcW w:w="2032" w:type="dxa"/>
          </w:tcPr>
          <w:p w:rsidR="0019147C" w:rsidRPr="00C91A89" w:rsidRDefault="000C22D8" w:rsidP="009028F6">
            <w:pPr>
              <w:rPr>
                <w:snapToGrid w:val="0"/>
                <w:color w:val="000000"/>
              </w:rPr>
            </w:pPr>
            <w:r>
              <w:rPr>
                <w:snapToGrid w:val="0"/>
                <w:color w:val="000000"/>
              </w:rPr>
              <w:t>Stakeholders</w:t>
            </w:r>
          </w:p>
        </w:tc>
        <w:tc>
          <w:tcPr>
            <w:tcW w:w="2885" w:type="dxa"/>
          </w:tcPr>
          <w:p w:rsidR="000C22D8" w:rsidRPr="00C91A89" w:rsidRDefault="000C22D8" w:rsidP="000C22D8">
            <w:pPr>
              <w:rPr>
                <w:snapToGrid w:val="0"/>
                <w:color w:val="000000"/>
              </w:rPr>
            </w:pPr>
            <w:r>
              <w:rPr>
                <w:snapToGrid w:val="0"/>
                <w:color w:val="000000"/>
              </w:rPr>
              <w:t>Public meetings</w:t>
            </w:r>
            <w:r>
              <w:rPr>
                <w:snapToGrid w:val="0"/>
                <w:color w:val="000000"/>
              </w:rPr>
              <w:br/>
              <w:t>Questionnaires</w:t>
            </w:r>
            <w:r>
              <w:rPr>
                <w:snapToGrid w:val="0"/>
                <w:color w:val="000000"/>
              </w:rPr>
              <w:br/>
              <w:t>Workshops</w:t>
            </w:r>
            <w:r>
              <w:rPr>
                <w:snapToGrid w:val="0"/>
                <w:color w:val="000000"/>
              </w:rPr>
              <w:br/>
              <w:t>Focus groups</w:t>
            </w:r>
            <w:r>
              <w:rPr>
                <w:snapToGrid w:val="0"/>
                <w:color w:val="000000"/>
              </w:rPr>
              <w:br/>
              <w:t xml:space="preserve">One-to-one engagement with interest groups </w:t>
            </w:r>
          </w:p>
        </w:tc>
        <w:tc>
          <w:tcPr>
            <w:tcW w:w="1793" w:type="dxa"/>
          </w:tcPr>
          <w:p w:rsidR="0019147C" w:rsidRPr="00C91A89" w:rsidRDefault="000C22D8" w:rsidP="000C22D8">
            <w:pPr>
              <w:rPr>
                <w:snapToGrid w:val="0"/>
                <w:color w:val="000000"/>
              </w:rPr>
            </w:pPr>
            <w:r>
              <w:rPr>
                <w:snapToGrid w:val="0"/>
                <w:color w:val="000000"/>
              </w:rPr>
              <w:t>David Small/ Miriam Anderson</w:t>
            </w:r>
          </w:p>
        </w:tc>
        <w:tc>
          <w:tcPr>
            <w:tcW w:w="1701" w:type="dxa"/>
          </w:tcPr>
          <w:p w:rsidR="0019147C" w:rsidRPr="00C91A89" w:rsidRDefault="000C22D8" w:rsidP="009028F6">
            <w:pPr>
              <w:rPr>
                <w:snapToGrid w:val="0"/>
                <w:color w:val="000000"/>
              </w:rPr>
            </w:pPr>
            <w:r>
              <w:rPr>
                <w:snapToGrid w:val="0"/>
                <w:color w:val="000000"/>
              </w:rPr>
              <w:t>Ongoing</w:t>
            </w:r>
          </w:p>
        </w:tc>
        <w:tc>
          <w:tcPr>
            <w:tcW w:w="1473" w:type="dxa"/>
          </w:tcPr>
          <w:p w:rsidR="0019147C" w:rsidRPr="00C91A89" w:rsidRDefault="000C22D8" w:rsidP="009028F6">
            <w:pPr>
              <w:rPr>
                <w:snapToGrid w:val="0"/>
                <w:color w:val="000000"/>
              </w:rPr>
            </w:pPr>
            <w:r>
              <w:rPr>
                <w:snapToGrid w:val="0"/>
                <w:color w:val="000000"/>
              </w:rPr>
              <w:t>NHS Lothian East Lothian Community Hospital Web Pages</w:t>
            </w:r>
          </w:p>
        </w:tc>
        <w:tc>
          <w:tcPr>
            <w:tcW w:w="2835" w:type="dxa"/>
          </w:tcPr>
          <w:p w:rsidR="0019147C" w:rsidRPr="00C91A89" w:rsidRDefault="00786D7C" w:rsidP="009028F6">
            <w:pPr>
              <w:rPr>
                <w:snapToGrid w:val="0"/>
                <w:color w:val="000000"/>
              </w:rPr>
            </w:pPr>
            <w:r>
              <w:rPr>
                <w:snapToGrid w:val="0"/>
                <w:color w:val="000000"/>
              </w:rPr>
              <w:t>Best health, best care, best value for our communities</w:t>
            </w:r>
          </w:p>
        </w:tc>
      </w:tr>
    </w:tbl>
    <w:p w:rsidR="007F0A5B" w:rsidRDefault="007F0A5B"/>
    <w:p w:rsidR="00095534" w:rsidRDefault="00095534" w:rsidP="00095534"/>
    <w:p w:rsidR="00095534" w:rsidRDefault="00095534" w:rsidP="00095534"/>
    <w:p w:rsidR="00095534" w:rsidRDefault="00095534" w:rsidP="00666C5D"/>
    <w:p w:rsidR="00095534" w:rsidRDefault="00095534" w:rsidP="00666C5D"/>
    <w:p w:rsidR="00095534" w:rsidRDefault="00095534" w:rsidP="00666C5D"/>
    <w:p w:rsidR="00666C5D" w:rsidRDefault="00666C5D"/>
    <w:p w:rsidR="00666C5D" w:rsidRDefault="00666C5D"/>
    <w:sectPr w:rsidR="00666C5D" w:rsidSect="007F0A5B">
      <w:pgSz w:w="16838" w:h="11906" w:orient="landscape"/>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22F7" w:rsidRDefault="007222F7" w:rsidP="00095534">
      <w:pPr>
        <w:spacing w:after="0" w:line="240" w:lineRule="auto"/>
      </w:pPr>
      <w:r>
        <w:separator/>
      </w:r>
    </w:p>
  </w:endnote>
  <w:endnote w:type="continuationSeparator" w:id="0">
    <w:p w:rsidR="007222F7" w:rsidRDefault="007222F7" w:rsidP="000955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53627"/>
      <w:docPartObj>
        <w:docPartGallery w:val="Page Numbers (Bottom of Page)"/>
        <w:docPartUnique/>
      </w:docPartObj>
    </w:sdtPr>
    <w:sdtContent>
      <w:p w:rsidR="00433285" w:rsidRDefault="004E0DC1">
        <w:pPr>
          <w:pStyle w:val="Footer"/>
          <w:jc w:val="center"/>
        </w:pPr>
        <w:fldSimple w:instr=" PAGE   \* MERGEFORMAT ">
          <w:r w:rsidR="00436DB0">
            <w:rPr>
              <w:noProof/>
            </w:rPr>
            <w:t>9</w:t>
          </w:r>
        </w:fldSimple>
      </w:p>
    </w:sdtContent>
  </w:sdt>
  <w:p w:rsidR="00433285" w:rsidRDefault="0043328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22F7" w:rsidRDefault="007222F7" w:rsidP="00095534">
      <w:pPr>
        <w:spacing w:after="0" w:line="240" w:lineRule="auto"/>
      </w:pPr>
      <w:r>
        <w:separator/>
      </w:r>
    </w:p>
  </w:footnote>
  <w:footnote w:type="continuationSeparator" w:id="0">
    <w:p w:rsidR="007222F7" w:rsidRDefault="007222F7" w:rsidP="0009553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3285" w:rsidRDefault="00433285">
    <w:pPr>
      <w:pStyle w:val="Header"/>
    </w:pPr>
    <w:r>
      <w:t>ELHSCP DRAFT Engagement Strategy</w:t>
    </w:r>
  </w:p>
  <w:p w:rsidR="00433285" w:rsidRDefault="0043328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155E8"/>
    <w:multiLevelType w:val="multilevel"/>
    <w:tmpl w:val="DCE25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A508A5"/>
    <w:multiLevelType w:val="hybridMultilevel"/>
    <w:tmpl w:val="98AC8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2115B22"/>
    <w:multiLevelType w:val="hybridMultilevel"/>
    <w:tmpl w:val="CC86D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7636EC8"/>
    <w:multiLevelType w:val="multilevel"/>
    <w:tmpl w:val="697AD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3D6EC7"/>
    <w:multiLevelType w:val="multilevel"/>
    <w:tmpl w:val="20DC2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D51740"/>
    <w:multiLevelType w:val="multilevel"/>
    <w:tmpl w:val="6F988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3C1645E"/>
    <w:multiLevelType w:val="hybridMultilevel"/>
    <w:tmpl w:val="8884AC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2A1C404A"/>
    <w:multiLevelType w:val="multilevel"/>
    <w:tmpl w:val="0FE42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FDB73B0"/>
    <w:multiLevelType w:val="hybridMultilevel"/>
    <w:tmpl w:val="D1949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0634E1D"/>
    <w:multiLevelType w:val="hybridMultilevel"/>
    <w:tmpl w:val="D3562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C8F51A4"/>
    <w:multiLevelType w:val="hybridMultilevel"/>
    <w:tmpl w:val="8BAA7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10B649D"/>
    <w:multiLevelType w:val="multilevel"/>
    <w:tmpl w:val="362C9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352287D"/>
    <w:multiLevelType w:val="multilevel"/>
    <w:tmpl w:val="D7162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4492C27"/>
    <w:multiLevelType w:val="multilevel"/>
    <w:tmpl w:val="160E9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EA76697"/>
    <w:multiLevelType w:val="multilevel"/>
    <w:tmpl w:val="159C7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1B05839"/>
    <w:multiLevelType w:val="hybridMultilevel"/>
    <w:tmpl w:val="70AE2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CCC21DF"/>
    <w:multiLevelType w:val="hybridMultilevel"/>
    <w:tmpl w:val="2954E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4954575"/>
    <w:multiLevelType w:val="multilevel"/>
    <w:tmpl w:val="B77CC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A5320AC"/>
    <w:multiLevelType w:val="hybridMultilevel"/>
    <w:tmpl w:val="A13C2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10"/>
  </w:num>
  <w:num w:numId="3">
    <w:abstractNumId w:val="14"/>
  </w:num>
  <w:num w:numId="4">
    <w:abstractNumId w:val="0"/>
  </w:num>
  <w:num w:numId="5">
    <w:abstractNumId w:val="9"/>
  </w:num>
  <w:num w:numId="6">
    <w:abstractNumId w:val="16"/>
  </w:num>
  <w:num w:numId="7">
    <w:abstractNumId w:val="7"/>
  </w:num>
  <w:num w:numId="8">
    <w:abstractNumId w:val="13"/>
  </w:num>
  <w:num w:numId="9">
    <w:abstractNumId w:val="15"/>
  </w:num>
  <w:num w:numId="10">
    <w:abstractNumId w:val="6"/>
  </w:num>
  <w:num w:numId="11">
    <w:abstractNumId w:val="8"/>
  </w:num>
  <w:num w:numId="12">
    <w:abstractNumId w:val="2"/>
  </w:num>
  <w:num w:numId="13">
    <w:abstractNumId w:val="1"/>
  </w:num>
  <w:num w:numId="14">
    <w:abstractNumId w:val="4"/>
  </w:num>
  <w:num w:numId="15">
    <w:abstractNumId w:val="12"/>
  </w:num>
  <w:num w:numId="16">
    <w:abstractNumId w:val="5"/>
  </w:num>
  <w:num w:numId="17">
    <w:abstractNumId w:val="11"/>
  </w:num>
  <w:num w:numId="18">
    <w:abstractNumId w:val="3"/>
  </w:num>
  <w:num w:numId="1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666C5D"/>
    <w:rsid w:val="00040447"/>
    <w:rsid w:val="000439CE"/>
    <w:rsid w:val="00067CF1"/>
    <w:rsid w:val="00095534"/>
    <w:rsid w:val="000C22D8"/>
    <w:rsid w:val="0019147C"/>
    <w:rsid w:val="002C0557"/>
    <w:rsid w:val="00345BFE"/>
    <w:rsid w:val="00433285"/>
    <w:rsid w:val="00436DB0"/>
    <w:rsid w:val="00476E55"/>
    <w:rsid w:val="004A79FA"/>
    <w:rsid w:val="004D344A"/>
    <w:rsid w:val="004E0DC1"/>
    <w:rsid w:val="00541F51"/>
    <w:rsid w:val="00574F24"/>
    <w:rsid w:val="005902B8"/>
    <w:rsid w:val="00666C5D"/>
    <w:rsid w:val="00681493"/>
    <w:rsid w:val="00686226"/>
    <w:rsid w:val="006C0B6F"/>
    <w:rsid w:val="007222F7"/>
    <w:rsid w:val="00751DDE"/>
    <w:rsid w:val="00757237"/>
    <w:rsid w:val="00786D7C"/>
    <w:rsid w:val="007B5EEF"/>
    <w:rsid w:val="007B5FD5"/>
    <w:rsid w:val="007F0A5B"/>
    <w:rsid w:val="008316C0"/>
    <w:rsid w:val="0084343A"/>
    <w:rsid w:val="0085466C"/>
    <w:rsid w:val="008619CE"/>
    <w:rsid w:val="009028F6"/>
    <w:rsid w:val="00A21A97"/>
    <w:rsid w:val="00A61905"/>
    <w:rsid w:val="00A8197C"/>
    <w:rsid w:val="00AE18EF"/>
    <w:rsid w:val="00BC1505"/>
    <w:rsid w:val="00E55A07"/>
    <w:rsid w:val="00EE28F2"/>
    <w:rsid w:val="00F65495"/>
    <w:rsid w:val="00FA442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F51"/>
  </w:style>
  <w:style w:type="paragraph" w:styleId="Heading1">
    <w:name w:val="heading 1"/>
    <w:basedOn w:val="Normal"/>
    <w:next w:val="Normal"/>
    <w:link w:val="Heading1Char"/>
    <w:uiPriority w:val="9"/>
    <w:qFormat/>
    <w:rsid w:val="008619C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A4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A4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67CF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55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5534"/>
    <w:rPr>
      <w:rFonts w:ascii="Tahoma" w:hAnsi="Tahoma" w:cs="Tahoma"/>
      <w:sz w:val="16"/>
      <w:szCs w:val="16"/>
    </w:rPr>
  </w:style>
  <w:style w:type="paragraph" w:styleId="Header">
    <w:name w:val="header"/>
    <w:basedOn w:val="Normal"/>
    <w:link w:val="HeaderChar"/>
    <w:uiPriority w:val="99"/>
    <w:unhideWhenUsed/>
    <w:rsid w:val="000955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5534"/>
  </w:style>
  <w:style w:type="paragraph" w:styleId="Footer">
    <w:name w:val="footer"/>
    <w:basedOn w:val="Normal"/>
    <w:link w:val="FooterChar"/>
    <w:uiPriority w:val="99"/>
    <w:unhideWhenUsed/>
    <w:rsid w:val="000955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5534"/>
  </w:style>
  <w:style w:type="character" w:customStyle="1" w:styleId="Heading1Char">
    <w:name w:val="Heading 1 Char"/>
    <w:basedOn w:val="DefaultParagraphFont"/>
    <w:link w:val="Heading1"/>
    <w:uiPriority w:val="9"/>
    <w:rsid w:val="008619CE"/>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8619CE"/>
    <w:pPr>
      <w:ind w:left="720"/>
      <w:contextualSpacing/>
    </w:pPr>
  </w:style>
  <w:style w:type="character" w:customStyle="1" w:styleId="Heading2Char">
    <w:name w:val="Heading 2 Char"/>
    <w:basedOn w:val="DefaultParagraphFont"/>
    <w:link w:val="Heading2"/>
    <w:uiPriority w:val="9"/>
    <w:rsid w:val="00FA4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A4428"/>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FA442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FA4428"/>
    <w:rPr>
      <w:color w:val="0000FF"/>
      <w:u w:val="single"/>
    </w:rPr>
  </w:style>
  <w:style w:type="character" w:styleId="Emphasis">
    <w:name w:val="Emphasis"/>
    <w:basedOn w:val="DefaultParagraphFont"/>
    <w:uiPriority w:val="20"/>
    <w:qFormat/>
    <w:rsid w:val="00F65495"/>
    <w:rPr>
      <w:i/>
      <w:iCs/>
    </w:rPr>
  </w:style>
  <w:style w:type="character" w:customStyle="1" w:styleId="Heading4Char">
    <w:name w:val="Heading 4 Char"/>
    <w:basedOn w:val="DefaultParagraphFont"/>
    <w:link w:val="Heading4"/>
    <w:uiPriority w:val="9"/>
    <w:rsid w:val="00067CF1"/>
    <w:rPr>
      <w:rFonts w:asciiTheme="majorHAnsi" w:eastAsiaTheme="majorEastAsia" w:hAnsiTheme="majorHAnsi" w:cstheme="majorBidi"/>
      <w:b/>
      <w:bCs/>
      <w:i/>
      <w:iCs/>
      <w:color w:val="4F81BD" w:themeColor="accent1"/>
    </w:rPr>
  </w:style>
  <w:style w:type="table" w:styleId="TableGrid">
    <w:name w:val="Table Grid"/>
    <w:basedOn w:val="TableNormal"/>
    <w:uiPriority w:val="59"/>
    <w:rsid w:val="00EE28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1">
    <w:name w:val="Light Shading Accent 1"/>
    <w:basedOn w:val="TableNormal"/>
    <w:uiPriority w:val="60"/>
    <w:rsid w:val="00433285"/>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r="http://schemas.openxmlformats.org/officeDocument/2006/relationships" xmlns:w="http://schemas.openxmlformats.org/wordprocessingml/2006/main">
  <w:divs>
    <w:div w:id="276255070">
      <w:bodyDiv w:val="1"/>
      <w:marLeft w:val="0"/>
      <w:marRight w:val="0"/>
      <w:marTop w:val="0"/>
      <w:marBottom w:val="0"/>
      <w:divBdr>
        <w:top w:val="none" w:sz="0" w:space="0" w:color="auto"/>
        <w:left w:val="none" w:sz="0" w:space="0" w:color="auto"/>
        <w:bottom w:val="none" w:sz="0" w:space="0" w:color="auto"/>
        <w:right w:val="none" w:sz="0" w:space="0" w:color="auto"/>
      </w:divBdr>
      <w:divsChild>
        <w:div w:id="1728607360">
          <w:marLeft w:val="0"/>
          <w:marRight w:val="0"/>
          <w:marTop w:val="0"/>
          <w:marBottom w:val="0"/>
          <w:divBdr>
            <w:top w:val="none" w:sz="0" w:space="0" w:color="auto"/>
            <w:left w:val="none" w:sz="0" w:space="0" w:color="auto"/>
            <w:bottom w:val="none" w:sz="0" w:space="0" w:color="auto"/>
            <w:right w:val="none" w:sz="0" w:space="0" w:color="auto"/>
          </w:divBdr>
          <w:divsChild>
            <w:div w:id="1702435181">
              <w:marLeft w:val="0"/>
              <w:marRight w:val="0"/>
              <w:marTop w:val="0"/>
              <w:marBottom w:val="0"/>
              <w:divBdr>
                <w:top w:val="none" w:sz="0" w:space="0" w:color="auto"/>
                <w:left w:val="none" w:sz="0" w:space="0" w:color="auto"/>
                <w:bottom w:val="none" w:sz="0" w:space="0" w:color="auto"/>
                <w:right w:val="none" w:sz="0" w:space="0" w:color="auto"/>
              </w:divBdr>
              <w:divsChild>
                <w:div w:id="200048118">
                  <w:marLeft w:val="0"/>
                  <w:marRight w:val="0"/>
                  <w:marTop w:val="0"/>
                  <w:marBottom w:val="0"/>
                  <w:divBdr>
                    <w:top w:val="none" w:sz="0" w:space="0" w:color="auto"/>
                    <w:left w:val="none" w:sz="0" w:space="0" w:color="auto"/>
                    <w:bottom w:val="none" w:sz="0" w:space="0" w:color="auto"/>
                    <w:right w:val="none" w:sz="0" w:space="0" w:color="auto"/>
                  </w:divBdr>
                  <w:divsChild>
                    <w:div w:id="411051945">
                      <w:marLeft w:val="0"/>
                      <w:marRight w:val="0"/>
                      <w:marTop w:val="0"/>
                      <w:marBottom w:val="0"/>
                      <w:divBdr>
                        <w:top w:val="none" w:sz="0" w:space="0" w:color="auto"/>
                        <w:left w:val="none" w:sz="0" w:space="0" w:color="auto"/>
                        <w:bottom w:val="none" w:sz="0" w:space="0" w:color="auto"/>
                        <w:right w:val="none" w:sz="0" w:space="0" w:color="auto"/>
                      </w:divBdr>
                      <w:divsChild>
                        <w:div w:id="1533685594">
                          <w:marLeft w:val="0"/>
                          <w:marRight w:val="0"/>
                          <w:marTop w:val="0"/>
                          <w:marBottom w:val="0"/>
                          <w:divBdr>
                            <w:top w:val="none" w:sz="0" w:space="0" w:color="auto"/>
                            <w:left w:val="none" w:sz="0" w:space="0" w:color="auto"/>
                            <w:bottom w:val="none" w:sz="0" w:space="0" w:color="auto"/>
                            <w:right w:val="none" w:sz="0" w:space="0" w:color="auto"/>
                          </w:divBdr>
                          <w:divsChild>
                            <w:div w:id="138709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4634118">
      <w:bodyDiv w:val="1"/>
      <w:marLeft w:val="0"/>
      <w:marRight w:val="0"/>
      <w:marTop w:val="0"/>
      <w:marBottom w:val="0"/>
      <w:divBdr>
        <w:top w:val="none" w:sz="0" w:space="0" w:color="auto"/>
        <w:left w:val="none" w:sz="0" w:space="0" w:color="auto"/>
        <w:bottom w:val="none" w:sz="0" w:space="0" w:color="auto"/>
        <w:right w:val="none" w:sz="0" w:space="0" w:color="auto"/>
      </w:divBdr>
      <w:divsChild>
        <w:div w:id="301618016">
          <w:marLeft w:val="0"/>
          <w:marRight w:val="0"/>
          <w:marTop w:val="0"/>
          <w:marBottom w:val="0"/>
          <w:divBdr>
            <w:top w:val="none" w:sz="0" w:space="0" w:color="auto"/>
            <w:left w:val="none" w:sz="0" w:space="0" w:color="auto"/>
            <w:bottom w:val="none" w:sz="0" w:space="0" w:color="auto"/>
            <w:right w:val="none" w:sz="0" w:space="0" w:color="auto"/>
          </w:divBdr>
          <w:divsChild>
            <w:div w:id="1239749447">
              <w:marLeft w:val="0"/>
              <w:marRight w:val="0"/>
              <w:marTop w:val="0"/>
              <w:marBottom w:val="0"/>
              <w:divBdr>
                <w:top w:val="none" w:sz="0" w:space="0" w:color="auto"/>
                <w:left w:val="none" w:sz="0" w:space="0" w:color="auto"/>
                <w:bottom w:val="none" w:sz="0" w:space="0" w:color="auto"/>
                <w:right w:val="none" w:sz="0" w:space="0" w:color="auto"/>
              </w:divBdr>
              <w:divsChild>
                <w:div w:id="1657295019">
                  <w:marLeft w:val="0"/>
                  <w:marRight w:val="0"/>
                  <w:marTop w:val="0"/>
                  <w:marBottom w:val="0"/>
                  <w:divBdr>
                    <w:top w:val="none" w:sz="0" w:space="0" w:color="auto"/>
                    <w:left w:val="none" w:sz="0" w:space="0" w:color="auto"/>
                    <w:bottom w:val="none" w:sz="0" w:space="0" w:color="auto"/>
                    <w:right w:val="none" w:sz="0" w:space="0" w:color="auto"/>
                  </w:divBdr>
                  <w:divsChild>
                    <w:div w:id="116123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1235524">
      <w:bodyDiv w:val="1"/>
      <w:marLeft w:val="0"/>
      <w:marRight w:val="0"/>
      <w:marTop w:val="0"/>
      <w:marBottom w:val="0"/>
      <w:divBdr>
        <w:top w:val="none" w:sz="0" w:space="0" w:color="auto"/>
        <w:left w:val="none" w:sz="0" w:space="0" w:color="auto"/>
        <w:bottom w:val="none" w:sz="0" w:space="0" w:color="auto"/>
        <w:right w:val="none" w:sz="0" w:space="0" w:color="auto"/>
      </w:divBdr>
      <w:divsChild>
        <w:div w:id="2077388963">
          <w:marLeft w:val="0"/>
          <w:marRight w:val="0"/>
          <w:marTop w:val="0"/>
          <w:marBottom w:val="0"/>
          <w:divBdr>
            <w:top w:val="none" w:sz="0" w:space="0" w:color="auto"/>
            <w:left w:val="none" w:sz="0" w:space="0" w:color="auto"/>
            <w:bottom w:val="none" w:sz="0" w:space="0" w:color="auto"/>
            <w:right w:val="none" w:sz="0" w:space="0" w:color="auto"/>
          </w:divBdr>
          <w:divsChild>
            <w:div w:id="781387886">
              <w:marLeft w:val="0"/>
              <w:marRight w:val="0"/>
              <w:marTop w:val="0"/>
              <w:marBottom w:val="0"/>
              <w:divBdr>
                <w:top w:val="none" w:sz="0" w:space="0" w:color="auto"/>
                <w:left w:val="none" w:sz="0" w:space="0" w:color="auto"/>
                <w:bottom w:val="none" w:sz="0" w:space="0" w:color="auto"/>
                <w:right w:val="none" w:sz="0" w:space="0" w:color="auto"/>
              </w:divBdr>
              <w:divsChild>
                <w:div w:id="413472304">
                  <w:marLeft w:val="0"/>
                  <w:marRight w:val="0"/>
                  <w:marTop w:val="0"/>
                  <w:marBottom w:val="0"/>
                  <w:divBdr>
                    <w:top w:val="none" w:sz="0" w:space="0" w:color="auto"/>
                    <w:left w:val="none" w:sz="0" w:space="0" w:color="auto"/>
                    <w:bottom w:val="none" w:sz="0" w:space="0" w:color="auto"/>
                    <w:right w:val="none" w:sz="0" w:space="0" w:color="auto"/>
                  </w:divBdr>
                  <w:divsChild>
                    <w:div w:id="17060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005317">
      <w:bodyDiv w:val="1"/>
      <w:marLeft w:val="0"/>
      <w:marRight w:val="0"/>
      <w:marTop w:val="0"/>
      <w:marBottom w:val="0"/>
      <w:divBdr>
        <w:top w:val="none" w:sz="0" w:space="0" w:color="auto"/>
        <w:left w:val="none" w:sz="0" w:space="0" w:color="auto"/>
        <w:bottom w:val="none" w:sz="0" w:space="0" w:color="auto"/>
        <w:right w:val="none" w:sz="0" w:space="0" w:color="auto"/>
      </w:divBdr>
      <w:divsChild>
        <w:div w:id="1461459407">
          <w:marLeft w:val="0"/>
          <w:marRight w:val="0"/>
          <w:marTop w:val="0"/>
          <w:marBottom w:val="0"/>
          <w:divBdr>
            <w:top w:val="none" w:sz="0" w:space="0" w:color="auto"/>
            <w:left w:val="none" w:sz="0" w:space="0" w:color="auto"/>
            <w:bottom w:val="none" w:sz="0" w:space="0" w:color="auto"/>
            <w:right w:val="none" w:sz="0" w:space="0" w:color="auto"/>
          </w:divBdr>
          <w:divsChild>
            <w:div w:id="1798065326">
              <w:marLeft w:val="0"/>
              <w:marRight w:val="0"/>
              <w:marTop w:val="0"/>
              <w:marBottom w:val="0"/>
              <w:divBdr>
                <w:top w:val="none" w:sz="0" w:space="0" w:color="auto"/>
                <w:left w:val="none" w:sz="0" w:space="0" w:color="auto"/>
                <w:bottom w:val="none" w:sz="0" w:space="0" w:color="auto"/>
                <w:right w:val="none" w:sz="0" w:space="0" w:color="auto"/>
              </w:divBdr>
              <w:divsChild>
                <w:div w:id="1832863318">
                  <w:marLeft w:val="0"/>
                  <w:marRight w:val="0"/>
                  <w:marTop w:val="0"/>
                  <w:marBottom w:val="0"/>
                  <w:divBdr>
                    <w:top w:val="none" w:sz="0" w:space="0" w:color="auto"/>
                    <w:left w:val="none" w:sz="0" w:space="0" w:color="auto"/>
                    <w:bottom w:val="none" w:sz="0" w:space="0" w:color="auto"/>
                    <w:right w:val="none" w:sz="0" w:space="0" w:color="auto"/>
                  </w:divBdr>
                  <w:divsChild>
                    <w:div w:id="206899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2525331">
      <w:bodyDiv w:val="1"/>
      <w:marLeft w:val="0"/>
      <w:marRight w:val="0"/>
      <w:marTop w:val="0"/>
      <w:marBottom w:val="0"/>
      <w:divBdr>
        <w:top w:val="none" w:sz="0" w:space="0" w:color="auto"/>
        <w:left w:val="none" w:sz="0" w:space="0" w:color="auto"/>
        <w:bottom w:val="none" w:sz="0" w:space="0" w:color="auto"/>
        <w:right w:val="none" w:sz="0" w:space="0" w:color="auto"/>
      </w:divBdr>
      <w:divsChild>
        <w:div w:id="1076516141">
          <w:marLeft w:val="0"/>
          <w:marRight w:val="0"/>
          <w:marTop w:val="0"/>
          <w:marBottom w:val="0"/>
          <w:divBdr>
            <w:top w:val="none" w:sz="0" w:space="0" w:color="auto"/>
            <w:left w:val="none" w:sz="0" w:space="0" w:color="auto"/>
            <w:bottom w:val="none" w:sz="0" w:space="0" w:color="auto"/>
            <w:right w:val="none" w:sz="0" w:space="0" w:color="auto"/>
          </w:divBdr>
          <w:divsChild>
            <w:div w:id="844172914">
              <w:marLeft w:val="0"/>
              <w:marRight w:val="0"/>
              <w:marTop w:val="0"/>
              <w:marBottom w:val="0"/>
              <w:divBdr>
                <w:top w:val="none" w:sz="0" w:space="0" w:color="auto"/>
                <w:left w:val="none" w:sz="0" w:space="0" w:color="auto"/>
                <w:bottom w:val="none" w:sz="0" w:space="0" w:color="auto"/>
                <w:right w:val="none" w:sz="0" w:space="0" w:color="auto"/>
              </w:divBdr>
              <w:divsChild>
                <w:div w:id="780299723">
                  <w:marLeft w:val="0"/>
                  <w:marRight w:val="0"/>
                  <w:marTop w:val="0"/>
                  <w:marBottom w:val="0"/>
                  <w:divBdr>
                    <w:top w:val="none" w:sz="0" w:space="0" w:color="auto"/>
                    <w:left w:val="none" w:sz="0" w:space="0" w:color="auto"/>
                    <w:bottom w:val="none" w:sz="0" w:space="0" w:color="auto"/>
                    <w:right w:val="none" w:sz="0" w:space="0" w:color="auto"/>
                  </w:divBdr>
                  <w:divsChild>
                    <w:div w:id="1637637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620727">
      <w:bodyDiv w:val="1"/>
      <w:marLeft w:val="0"/>
      <w:marRight w:val="0"/>
      <w:marTop w:val="0"/>
      <w:marBottom w:val="0"/>
      <w:divBdr>
        <w:top w:val="none" w:sz="0" w:space="0" w:color="auto"/>
        <w:left w:val="none" w:sz="0" w:space="0" w:color="auto"/>
        <w:bottom w:val="none" w:sz="0" w:space="0" w:color="auto"/>
        <w:right w:val="none" w:sz="0" w:space="0" w:color="auto"/>
      </w:divBdr>
      <w:divsChild>
        <w:div w:id="1373384873">
          <w:marLeft w:val="0"/>
          <w:marRight w:val="0"/>
          <w:marTop w:val="0"/>
          <w:marBottom w:val="0"/>
          <w:divBdr>
            <w:top w:val="none" w:sz="0" w:space="0" w:color="auto"/>
            <w:left w:val="none" w:sz="0" w:space="0" w:color="auto"/>
            <w:bottom w:val="none" w:sz="0" w:space="0" w:color="auto"/>
            <w:right w:val="none" w:sz="0" w:space="0" w:color="auto"/>
          </w:divBdr>
          <w:divsChild>
            <w:div w:id="1305887260">
              <w:marLeft w:val="0"/>
              <w:marRight w:val="0"/>
              <w:marTop w:val="0"/>
              <w:marBottom w:val="0"/>
              <w:divBdr>
                <w:top w:val="none" w:sz="0" w:space="0" w:color="auto"/>
                <w:left w:val="none" w:sz="0" w:space="0" w:color="auto"/>
                <w:bottom w:val="none" w:sz="0" w:space="0" w:color="auto"/>
                <w:right w:val="none" w:sz="0" w:space="0" w:color="auto"/>
              </w:divBdr>
              <w:divsChild>
                <w:div w:id="902715303">
                  <w:marLeft w:val="0"/>
                  <w:marRight w:val="0"/>
                  <w:marTop w:val="0"/>
                  <w:marBottom w:val="0"/>
                  <w:divBdr>
                    <w:top w:val="none" w:sz="0" w:space="0" w:color="auto"/>
                    <w:left w:val="none" w:sz="0" w:space="0" w:color="auto"/>
                    <w:bottom w:val="none" w:sz="0" w:space="0" w:color="auto"/>
                    <w:right w:val="none" w:sz="0" w:space="0" w:color="auto"/>
                  </w:divBdr>
                  <w:divsChild>
                    <w:div w:id="6364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456066">
      <w:bodyDiv w:val="1"/>
      <w:marLeft w:val="0"/>
      <w:marRight w:val="0"/>
      <w:marTop w:val="0"/>
      <w:marBottom w:val="0"/>
      <w:divBdr>
        <w:top w:val="none" w:sz="0" w:space="0" w:color="auto"/>
        <w:left w:val="none" w:sz="0" w:space="0" w:color="auto"/>
        <w:bottom w:val="none" w:sz="0" w:space="0" w:color="auto"/>
        <w:right w:val="none" w:sz="0" w:space="0" w:color="auto"/>
      </w:divBdr>
      <w:divsChild>
        <w:div w:id="1237057905">
          <w:marLeft w:val="0"/>
          <w:marRight w:val="0"/>
          <w:marTop w:val="0"/>
          <w:marBottom w:val="0"/>
          <w:divBdr>
            <w:top w:val="none" w:sz="0" w:space="0" w:color="auto"/>
            <w:left w:val="none" w:sz="0" w:space="0" w:color="auto"/>
            <w:bottom w:val="none" w:sz="0" w:space="0" w:color="auto"/>
            <w:right w:val="none" w:sz="0" w:space="0" w:color="auto"/>
          </w:divBdr>
          <w:divsChild>
            <w:div w:id="124859818">
              <w:marLeft w:val="0"/>
              <w:marRight w:val="0"/>
              <w:marTop w:val="0"/>
              <w:marBottom w:val="0"/>
              <w:divBdr>
                <w:top w:val="none" w:sz="0" w:space="0" w:color="auto"/>
                <w:left w:val="none" w:sz="0" w:space="0" w:color="auto"/>
                <w:bottom w:val="none" w:sz="0" w:space="0" w:color="auto"/>
                <w:right w:val="none" w:sz="0" w:space="0" w:color="auto"/>
              </w:divBdr>
              <w:divsChild>
                <w:div w:id="391538549">
                  <w:marLeft w:val="0"/>
                  <w:marRight w:val="0"/>
                  <w:marTop w:val="0"/>
                  <w:marBottom w:val="0"/>
                  <w:divBdr>
                    <w:top w:val="none" w:sz="0" w:space="0" w:color="auto"/>
                    <w:left w:val="none" w:sz="0" w:space="0" w:color="auto"/>
                    <w:bottom w:val="none" w:sz="0" w:space="0" w:color="auto"/>
                    <w:right w:val="none" w:sz="0" w:space="0" w:color="auto"/>
                  </w:divBdr>
                  <w:divsChild>
                    <w:div w:id="141008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3799946">
      <w:bodyDiv w:val="1"/>
      <w:marLeft w:val="0"/>
      <w:marRight w:val="0"/>
      <w:marTop w:val="0"/>
      <w:marBottom w:val="0"/>
      <w:divBdr>
        <w:top w:val="none" w:sz="0" w:space="0" w:color="auto"/>
        <w:left w:val="none" w:sz="0" w:space="0" w:color="auto"/>
        <w:bottom w:val="none" w:sz="0" w:space="0" w:color="auto"/>
        <w:right w:val="none" w:sz="0" w:space="0" w:color="auto"/>
      </w:divBdr>
      <w:divsChild>
        <w:div w:id="1283338906">
          <w:marLeft w:val="0"/>
          <w:marRight w:val="0"/>
          <w:marTop w:val="0"/>
          <w:marBottom w:val="0"/>
          <w:divBdr>
            <w:top w:val="none" w:sz="0" w:space="0" w:color="auto"/>
            <w:left w:val="none" w:sz="0" w:space="0" w:color="auto"/>
            <w:bottom w:val="none" w:sz="0" w:space="0" w:color="auto"/>
            <w:right w:val="none" w:sz="0" w:space="0" w:color="auto"/>
          </w:divBdr>
          <w:divsChild>
            <w:div w:id="832918275">
              <w:marLeft w:val="0"/>
              <w:marRight w:val="0"/>
              <w:marTop w:val="0"/>
              <w:marBottom w:val="0"/>
              <w:divBdr>
                <w:top w:val="none" w:sz="0" w:space="0" w:color="auto"/>
                <w:left w:val="none" w:sz="0" w:space="0" w:color="auto"/>
                <w:bottom w:val="none" w:sz="0" w:space="0" w:color="auto"/>
                <w:right w:val="none" w:sz="0" w:space="0" w:color="auto"/>
              </w:divBdr>
              <w:divsChild>
                <w:div w:id="1438797070">
                  <w:marLeft w:val="0"/>
                  <w:marRight w:val="0"/>
                  <w:marTop w:val="0"/>
                  <w:marBottom w:val="0"/>
                  <w:divBdr>
                    <w:top w:val="none" w:sz="0" w:space="0" w:color="auto"/>
                    <w:left w:val="none" w:sz="0" w:space="0" w:color="auto"/>
                    <w:bottom w:val="none" w:sz="0" w:space="0" w:color="auto"/>
                    <w:right w:val="none" w:sz="0" w:space="0" w:color="auto"/>
                  </w:divBdr>
                  <w:divsChild>
                    <w:div w:id="171260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9227478">
      <w:bodyDiv w:val="1"/>
      <w:marLeft w:val="0"/>
      <w:marRight w:val="0"/>
      <w:marTop w:val="0"/>
      <w:marBottom w:val="0"/>
      <w:divBdr>
        <w:top w:val="none" w:sz="0" w:space="0" w:color="auto"/>
        <w:left w:val="none" w:sz="0" w:space="0" w:color="auto"/>
        <w:bottom w:val="none" w:sz="0" w:space="0" w:color="auto"/>
        <w:right w:val="none" w:sz="0" w:space="0" w:color="auto"/>
      </w:divBdr>
      <w:divsChild>
        <w:div w:id="466169492">
          <w:marLeft w:val="0"/>
          <w:marRight w:val="0"/>
          <w:marTop w:val="0"/>
          <w:marBottom w:val="0"/>
          <w:divBdr>
            <w:top w:val="none" w:sz="0" w:space="0" w:color="auto"/>
            <w:left w:val="none" w:sz="0" w:space="0" w:color="auto"/>
            <w:bottom w:val="none" w:sz="0" w:space="0" w:color="auto"/>
            <w:right w:val="none" w:sz="0" w:space="0" w:color="auto"/>
          </w:divBdr>
          <w:divsChild>
            <w:div w:id="2032298516">
              <w:marLeft w:val="0"/>
              <w:marRight w:val="0"/>
              <w:marTop w:val="0"/>
              <w:marBottom w:val="0"/>
              <w:divBdr>
                <w:top w:val="none" w:sz="0" w:space="0" w:color="auto"/>
                <w:left w:val="none" w:sz="0" w:space="0" w:color="auto"/>
                <w:bottom w:val="none" w:sz="0" w:space="0" w:color="auto"/>
                <w:right w:val="none" w:sz="0" w:space="0" w:color="auto"/>
              </w:divBdr>
              <w:divsChild>
                <w:div w:id="1106537556">
                  <w:marLeft w:val="0"/>
                  <w:marRight w:val="0"/>
                  <w:marTop w:val="0"/>
                  <w:marBottom w:val="0"/>
                  <w:divBdr>
                    <w:top w:val="none" w:sz="0" w:space="0" w:color="auto"/>
                    <w:left w:val="none" w:sz="0" w:space="0" w:color="auto"/>
                    <w:bottom w:val="none" w:sz="0" w:space="0" w:color="auto"/>
                    <w:right w:val="none" w:sz="0" w:space="0" w:color="auto"/>
                  </w:divBdr>
                  <w:divsChild>
                    <w:div w:id="74430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hyperlink" Target="http://www.eastlothian.gov.uk/info/200497/east_lothian_health_and_social_care_partnership/1656/integrating_health_and_social_care_in_east_lothian/6"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voicescotland.org.uk/" TargetMode="External"/><Relationship Id="rId17" Type="http://schemas.openxmlformats.org/officeDocument/2006/relationships/hyperlink" Target="http://www.eastlothian.gov.uk/info/1347/social_care_and_health/1746/developing_specialist_and_help_to_live_at_home_services/3" TargetMode="External"/><Relationship Id="rId2" Type="http://schemas.openxmlformats.org/officeDocument/2006/relationships/customXml" Target="../customXml/item2.xml"/><Relationship Id="rId16" Type="http://schemas.openxmlformats.org/officeDocument/2006/relationships/hyperlink" Target="http://www.eastlothian.gov.uk/info/1347/social_care_and_health/1746/developing_specialist_and_help_to_live_at_home_services/3"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astlothian.gov.uk/downloads/download/2336/east_lothian_health_and_social_care_partnership_strategic_plan_2016-19"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2017-01-31T00:00:00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CA998F7-13FA-4925-BC2D-CAC28BDAB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806</TotalTime>
  <Pages>1</Pages>
  <Words>2323</Words>
  <Characters>13246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Draft Engagement Strategy</vt:lpstr>
    </vt:vector>
  </TitlesOfParts>
  <Company>East Lothian Council</Company>
  <LinksUpToDate>false</LinksUpToDate>
  <CharactersWithSpaces>15538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Engagement Strategy</dc:title>
  <dc:creator>ogdej</dc:creator>
  <cp:lastModifiedBy>ogdej</cp:lastModifiedBy>
  <cp:revision>5</cp:revision>
  <cp:lastPrinted>2017-03-01T12:53:00Z</cp:lastPrinted>
  <dcterms:created xsi:type="dcterms:W3CDTF">2017-01-31T11:18:00Z</dcterms:created>
  <dcterms:modified xsi:type="dcterms:W3CDTF">2017-03-01T14:15:00Z</dcterms:modified>
</cp:coreProperties>
</file>